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6B812" w14:textId="21C7E68C" w:rsidR="006744E7" w:rsidRPr="00232FA8" w:rsidRDefault="00E1213A" w:rsidP="00BE7660">
      <w:pPr>
        <w:pStyle w:val="Header"/>
        <w:tabs>
          <w:tab w:val="clear" w:pos="4320"/>
          <w:tab w:val="clear" w:pos="8640"/>
        </w:tabs>
        <w:rPr>
          <w:rFonts w:cs="Arial"/>
        </w:rPr>
      </w:pPr>
      <w:bookmarkStart w:id="0" w:name="_GoBack"/>
      <w:bookmarkEnd w:id="0"/>
      <w:r>
        <w:rPr>
          <w:noProof/>
          <w:snapToGrid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9E40EF9" wp14:editId="6D1F5A4B">
            <wp:simplePos x="0" y="0"/>
            <wp:positionH relativeFrom="column">
              <wp:posOffset>-36195</wp:posOffset>
            </wp:positionH>
            <wp:positionV relativeFrom="paragraph">
              <wp:posOffset>-446405</wp:posOffset>
            </wp:positionV>
            <wp:extent cx="6299835" cy="446405"/>
            <wp:effectExtent l="0" t="0" r="0" b="0"/>
            <wp:wrapNone/>
            <wp:docPr id="9" name="Picture 9" descr="WSCC%20Logo%20Hor%20(CMYK-%23328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SCC%20Logo%20Hor%20(CMYK-%23328F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D7E867" wp14:editId="03FBACAF">
                <wp:simplePos x="0" y="0"/>
                <wp:positionH relativeFrom="column">
                  <wp:posOffset>-118745</wp:posOffset>
                </wp:positionH>
                <wp:positionV relativeFrom="paragraph">
                  <wp:posOffset>365760</wp:posOffset>
                </wp:positionV>
                <wp:extent cx="0" cy="0"/>
                <wp:effectExtent l="5080" t="13335" r="13970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3ABD0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28.8pt" to="-9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pcuAEAAGMDAAAOAAAAZHJzL2Uyb0RvYy54bWysU02P2yAQvVfqf0DcG5JIu2qtOHvIdntJ&#10;20i7+wMmgG1UYBCQ2Pn3HchHt+2tqg+IYWYe773Bq4fJWXbUMRn0LV/M5pxpL1EZ37f89eXpw0fO&#10;UgavwKLXLT/pxB/W79+txtDoJQ5olY6MQHxqxtDyIefQCJHkoB2kGQbtKdlhdJApjL1QEUZCd1Ys&#10;5/N7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" o:allowincell="f"/>
            </w:pict>
          </mc:Fallback>
        </mc:AlternateContent>
      </w:r>
    </w:p>
    <w:p w14:paraId="6970875E" w14:textId="77777777" w:rsidR="006744E7" w:rsidRPr="004D3DEA" w:rsidRDefault="006744E7">
      <w:pPr>
        <w:pStyle w:val="Heading1"/>
        <w:rPr>
          <w:rFonts w:asciiTheme="majorHAnsi" w:hAnsiTheme="majorHAnsi" w:cs="Arial"/>
          <w:u w:val="none"/>
        </w:rPr>
      </w:pPr>
      <w:r>
        <w:rPr>
          <w:rFonts w:asciiTheme="majorHAnsi" w:hAnsiTheme="majorHAnsi"/>
          <w:u w:val="none"/>
        </w:rPr>
        <w:t>IDENTIFICATION</w:t>
      </w:r>
    </w:p>
    <w:tbl>
      <w:tblPr>
        <w:tblW w:w="98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2656"/>
        <w:gridCol w:w="3103"/>
      </w:tblGrid>
      <w:tr w:rsidR="006744E7" w:rsidRPr="004D3DEA" w14:paraId="5367B3A9" w14:textId="77777777" w:rsidTr="00B76E73">
        <w:trPr>
          <w:trHeight w:val="813"/>
        </w:trPr>
        <w:tc>
          <w:tcPr>
            <w:tcW w:w="4066" w:type="dxa"/>
            <w:shd w:val="pct10" w:color="auto" w:fill="auto"/>
          </w:tcPr>
          <w:p w14:paraId="1D0612AB" w14:textId="77777777" w:rsidR="006744E7" w:rsidRPr="004D3DEA" w:rsidRDefault="006744E7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0D06E4B8" w14:textId="77777777" w:rsidR="006744E7" w:rsidRPr="004D3DEA" w:rsidRDefault="006744E7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Service</w:t>
            </w:r>
          </w:p>
          <w:p w14:paraId="5C811BF7" w14:textId="77777777" w:rsidR="006744E7" w:rsidRPr="004D3DEA" w:rsidRDefault="006744E7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5759" w:type="dxa"/>
            <w:gridSpan w:val="2"/>
            <w:shd w:val="pct10" w:color="auto" w:fill="auto"/>
          </w:tcPr>
          <w:p w14:paraId="601ACA9D" w14:textId="77777777" w:rsidR="006744E7" w:rsidRPr="004D3DEA" w:rsidRDefault="006744E7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7EDBDAD9" w14:textId="77777777" w:rsidR="006744E7" w:rsidRPr="004D3DEA" w:rsidRDefault="006744E7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Titre du poste</w:t>
            </w:r>
          </w:p>
        </w:tc>
      </w:tr>
      <w:tr w:rsidR="006744E7" w:rsidRPr="004D3DEA" w14:paraId="0EC09170" w14:textId="77777777" w:rsidTr="00B76E73">
        <w:trPr>
          <w:trHeight w:val="546"/>
        </w:trPr>
        <w:tc>
          <w:tcPr>
            <w:tcW w:w="4066" w:type="dxa"/>
            <w:tcBorders>
              <w:top w:val="nil"/>
            </w:tcBorders>
          </w:tcPr>
          <w:p w14:paraId="4C644BE9" w14:textId="3ECBBFE7" w:rsidR="006744E7" w:rsidRPr="004D3DEA" w:rsidRDefault="00CD140F" w:rsidP="003430C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Commission de la sécurité au travail et de l</w:t>
            </w:r>
            <w:r w:rsidR="00B76E73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indemnisation des travailleurs</w:t>
            </w:r>
          </w:p>
        </w:tc>
        <w:tc>
          <w:tcPr>
            <w:tcW w:w="5759" w:type="dxa"/>
            <w:gridSpan w:val="2"/>
            <w:tcBorders>
              <w:top w:val="nil"/>
            </w:tcBorders>
          </w:tcPr>
          <w:p w14:paraId="3EC10A9A" w14:textId="5AF9F1F1" w:rsidR="006744E7" w:rsidRPr="004D3DEA" w:rsidRDefault="009B4C39" w:rsidP="003430C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 xml:space="preserve">Superviseur ou superviseure, </w:t>
            </w:r>
            <w:r w:rsidR="00B76E73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Gestion de cas et Soins de santé</w:t>
            </w:r>
          </w:p>
        </w:tc>
      </w:tr>
      <w:tr w:rsidR="006744E7" w:rsidRPr="004D3DEA" w14:paraId="1A566943" w14:textId="77777777" w:rsidTr="00B76E73">
        <w:trPr>
          <w:trHeight w:val="813"/>
        </w:trPr>
        <w:tc>
          <w:tcPr>
            <w:tcW w:w="4066" w:type="dxa"/>
            <w:shd w:val="pct10" w:color="auto" w:fill="auto"/>
          </w:tcPr>
          <w:p w14:paraId="0C9820DA" w14:textId="77777777" w:rsidR="006744E7" w:rsidRPr="004D3DEA" w:rsidRDefault="006744E7" w:rsidP="003430C0">
            <w:pPr>
              <w:pStyle w:val="Heading6"/>
              <w:tabs>
                <w:tab w:val="left" w:pos="800"/>
                <w:tab w:val="center" w:pos="1701"/>
              </w:tabs>
              <w:jc w:val="center"/>
              <w:rPr>
                <w:rFonts w:asciiTheme="majorHAnsi" w:hAnsiTheme="majorHAnsi" w:cs="Arial"/>
              </w:rPr>
            </w:pPr>
          </w:p>
          <w:p w14:paraId="4330F049" w14:textId="77777777" w:rsidR="006744E7" w:rsidRPr="004D3DEA" w:rsidRDefault="007B52F4" w:rsidP="003430C0">
            <w:pPr>
              <w:pStyle w:val="Heading6"/>
              <w:tabs>
                <w:tab w:val="left" w:pos="800"/>
                <w:tab w:val="center" w:pos="1701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Numéro(s) de poste</w:t>
            </w:r>
          </w:p>
          <w:p w14:paraId="477EF6FD" w14:textId="77777777" w:rsidR="006744E7" w:rsidRPr="004D3DEA" w:rsidRDefault="006744E7" w:rsidP="003430C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56" w:type="dxa"/>
            <w:shd w:val="pct10" w:color="auto" w:fill="auto"/>
          </w:tcPr>
          <w:p w14:paraId="6CD612E9" w14:textId="77777777" w:rsidR="006744E7" w:rsidRPr="004D3DEA" w:rsidRDefault="006744E7" w:rsidP="003430C0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6BA06E07" w14:textId="77777777" w:rsidR="006744E7" w:rsidRPr="004D3DEA" w:rsidRDefault="007B52F4" w:rsidP="003430C0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Collectivité(s)</w:t>
            </w:r>
          </w:p>
        </w:tc>
        <w:tc>
          <w:tcPr>
            <w:tcW w:w="3103" w:type="dxa"/>
            <w:shd w:val="pct10" w:color="auto" w:fill="auto"/>
          </w:tcPr>
          <w:p w14:paraId="04A9E647" w14:textId="77777777" w:rsidR="006744E7" w:rsidRPr="004D3DEA" w:rsidRDefault="006744E7" w:rsidP="003430C0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04F3DC48" w14:textId="77777777" w:rsidR="006744E7" w:rsidRPr="004D3DEA" w:rsidRDefault="007B52F4" w:rsidP="003430C0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Région(s) ou division(s)</w:t>
            </w:r>
          </w:p>
        </w:tc>
      </w:tr>
      <w:tr w:rsidR="006744E7" w:rsidRPr="004D3DEA" w14:paraId="797C92BF" w14:textId="77777777" w:rsidTr="00B76E73">
        <w:trPr>
          <w:trHeight w:val="546"/>
        </w:trPr>
        <w:tc>
          <w:tcPr>
            <w:tcW w:w="4066" w:type="dxa"/>
            <w:tcBorders>
              <w:top w:val="nil"/>
            </w:tcBorders>
          </w:tcPr>
          <w:p w14:paraId="0010DE2D" w14:textId="77777777" w:rsidR="006744E7" w:rsidRPr="004D3DEA" w:rsidRDefault="009B4C39" w:rsidP="003430C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97-9835</w:t>
            </w:r>
          </w:p>
        </w:tc>
        <w:tc>
          <w:tcPr>
            <w:tcW w:w="2656" w:type="dxa"/>
            <w:tcBorders>
              <w:top w:val="nil"/>
            </w:tcBorders>
          </w:tcPr>
          <w:p w14:paraId="2228059E" w14:textId="77777777" w:rsidR="006744E7" w:rsidRPr="004D3DEA" w:rsidRDefault="009B4C39" w:rsidP="003430C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Iqaluit</w:t>
            </w:r>
          </w:p>
        </w:tc>
        <w:tc>
          <w:tcPr>
            <w:tcW w:w="3103" w:type="dxa"/>
            <w:tcBorders>
              <w:top w:val="nil"/>
            </w:tcBorders>
          </w:tcPr>
          <w:p w14:paraId="746C4AC0" w14:textId="77777777" w:rsidR="006744E7" w:rsidRPr="004D3DEA" w:rsidRDefault="009B4C39" w:rsidP="003430C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Services aux intervenants</w:t>
            </w:r>
          </w:p>
        </w:tc>
      </w:tr>
    </w:tbl>
    <w:p w14:paraId="61819D5E" w14:textId="21F5D5F1" w:rsidR="00B76E73" w:rsidRDefault="006744E7" w:rsidP="006F4882">
      <w:pPr>
        <w:pStyle w:val="Heading1"/>
        <w:jc w:val="both"/>
        <w:rPr>
          <w:rFonts w:asciiTheme="majorHAnsi" w:hAnsiTheme="majorHAnsi"/>
        </w:rPr>
      </w:pPr>
      <w:r w:rsidRPr="00B76E73">
        <w:rPr>
          <w:rFonts w:asciiTheme="majorHAnsi" w:hAnsiTheme="majorHAnsi"/>
          <w:sz w:val="20"/>
          <w:szCs w:val="20"/>
        </w:rPr>
        <w:t>(L</w:t>
      </w:r>
      <w:r w:rsidR="00B76E73">
        <w:rPr>
          <w:rFonts w:asciiTheme="majorHAnsi" w:hAnsiTheme="majorHAnsi"/>
          <w:sz w:val="20"/>
          <w:szCs w:val="20"/>
        </w:rPr>
        <w:t>’</w:t>
      </w:r>
      <w:r w:rsidRPr="00B76E73">
        <w:rPr>
          <w:rFonts w:asciiTheme="majorHAnsi" w:hAnsiTheme="majorHAnsi"/>
          <w:sz w:val="20"/>
          <w:szCs w:val="20"/>
        </w:rPr>
        <w:t>emploi du masculin pour désigner des personnes n</w:t>
      </w:r>
      <w:r w:rsidR="00B76E73">
        <w:rPr>
          <w:rFonts w:asciiTheme="majorHAnsi" w:hAnsiTheme="majorHAnsi"/>
          <w:sz w:val="20"/>
          <w:szCs w:val="20"/>
        </w:rPr>
        <w:t>’</w:t>
      </w:r>
      <w:r w:rsidRPr="00B76E73">
        <w:rPr>
          <w:rFonts w:asciiTheme="majorHAnsi" w:hAnsiTheme="majorHAnsi"/>
          <w:sz w:val="20"/>
          <w:szCs w:val="20"/>
        </w:rPr>
        <w:t>a d</w:t>
      </w:r>
      <w:r w:rsidR="00B76E73">
        <w:rPr>
          <w:rFonts w:asciiTheme="majorHAnsi" w:hAnsiTheme="majorHAnsi"/>
          <w:sz w:val="20"/>
          <w:szCs w:val="20"/>
        </w:rPr>
        <w:t>’</w:t>
      </w:r>
      <w:r w:rsidRPr="00B76E73">
        <w:rPr>
          <w:rFonts w:asciiTheme="majorHAnsi" w:hAnsiTheme="majorHAnsi"/>
          <w:sz w:val="20"/>
          <w:szCs w:val="20"/>
        </w:rPr>
        <w:t>autre fin que celle d</w:t>
      </w:r>
      <w:r w:rsidR="00B76E73">
        <w:rPr>
          <w:rFonts w:asciiTheme="majorHAnsi" w:hAnsiTheme="majorHAnsi"/>
          <w:sz w:val="20"/>
          <w:szCs w:val="20"/>
        </w:rPr>
        <w:t>’</w:t>
      </w:r>
      <w:r w:rsidRPr="00B76E73">
        <w:rPr>
          <w:rFonts w:asciiTheme="majorHAnsi" w:hAnsiTheme="majorHAnsi"/>
          <w:sz w:val="20"/>
          <w:szCs w:val="20"/>
        </w:rPr>
        <w:t>alléger le texte.)</w:t>
      </w:r>
    </w:p>
    <w:p w14:paraId="0AEAB3E7" w14:textId="77777777" w:rsidR="00B76E73" w:rsidRPr="00B76E73" w:rsidRDefault="00B76E73" w:rsidP="00B76E73"/>
    <w:p w14:paraId="6BE88078" w14:textId="6CA06CFA" w:rsidR="006744E7" w:rsidRPr="004D3DEA" w:rsidRDefault="006744E7" w:rsidP="006F4882">
      <w:pPr>
        <w:pStyle w:val="Heading1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OBJECTIF DU POSTE</w:t>
      </w:r>
    </w:p>
    <w:p w14:paraId="519559DA" w14:textId="77777777" w:rsidR="006744E7" w:rsidRPr="004D3DEA" w:rsidRDefault="006744E7" w:rsidP="006F4882">
      <w:pPr>
        <w:jc w:val="both"/>
        <w:rPr>
          <w:rFonts w:asciiTheme="majorHAnsi" w:hAnsiTheme="majorHAnsi" w:cs="Arial"/>
        </w:rPr>
      </w:pPr>
    </w:p>
    <w:p w14:paraId="69A4ED83" w14:textId="44D6C9BA" w:rsidR="009B4C39" w:rsidRPr="004D3DEA" w:rsidRDefault="009B4C39" w:rsidP="006F488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Le superviseur, Gestion de cas, assure la supervision directe des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gestionnaires de cas et des aides à la gestion de cas pour fournir des services de première ligne fiables et rapides aux travailleurs qui se sont blessés ou sont devenus malades à cause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activités liées à leur travail au Nunavut.</w:t>
      </w:r>
    </w:p>
    <w:p w14:paraId="7738BB50" w14:textId="77777777" w:rsidR="009B4C39" w:rsidRPr="004D3DEA" w:rsidRDefault="009B4C39" w:rsidP="006F4882">
      <w:pPr>
        <w:jc w:val="both"/>
        <w:rPr>
          <w:rFonts w:asciiTheme="majorHAnsi" w:hAnsiTheme="majorHAnsi" w:cs="Arial"/>
        </w:rPr>
      </w:pPr>
    </w:p>
    <w:p w14:paraId="5676EE83" w14:textId="08B4A92C" w:rsidR="009B4C39" w:rsidRPr="004D3DEA" w:rsidRDefault="009B4C39" w:rsidP="006F488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Le titulaire du poste dirige et encadre une équipe, et veille à son fonctionnement efficace au quotidien, surveille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utilisation des ressources pour qu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elle soit rentable, tente de limiter les coûts et agit de façon conforme aux</w:t>
      </w:r>
      <w:r>
        <w:rPr>
          <w:rFonts w:asciiTheme="majorHAnsi" w:hAnsiTheme="majorHAnsi"/>
          <w:i/>
          <w:iCs/>
        </w:rPr>
        <w:t xml:space="preserve"> Lois sur l</w:t>
      </w:r>
      <w:r w:rsidR="00B76E73">
        <w:rPr>
          <w:rFonts w:asciiTheme="majorHAnsi" w:hAnsiTheme="majorHAnsi"/>
          <w:i/>
          <w:iCs/>
        </w:rPr>
        <w:t>’</w:t>
      </w:r>
      <w:r>
        <w:rPr>
          <w:rFonts w:asciiTheme="majorHAnsi" w:hAnsiTheme="majorHAnsi"/>
          <w:i/>
          <w:iCs/>
        </w:rPr>
        <w:t>indemnisation des travailleurs</w:t>
      </w:r>
      <w:r>
        <w:rPr>
          <w:rFonts w:asciiTheme="majorHAnsi" w:hAnsiTheme="majorHAnsi"/>
        </w:rPr>
        <w:t xml:space="preserve"> du Nunavut et des T.N.-O. ainsi qu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aux politiques et procédures de la Commission de la sécurité au travail et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indemnisation des travailleurs (CSTIT).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Il lui incombe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assurer un suivi des mesures de contrôle de la qualité et des normes de rendement pour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équipe.</w:t>
      </w:r>
    </w:p>
    <w:p w14:paraId="2BA8FA92" w14:textId="77777777" w:rsidR="00D43A52" w:rsidRPr="004D3DEA" w:rsidRDefault="00D43A52" w:rsidP="006F4882">
      <w:pPr>
        <w:jc w:val="both"/>
        <w:rPr>
          <w:rFonts w:asciiTheme="majorHAnsi" w:hAnsiTheme="majorHAnsi" w:cs="Arial"/>
        </w:rPr>
      </w:pPr>
    </w:p>
    <w:p w14:paraId="0CA18ADC" w14:textId="77777777" w:rsidR="006744E7" w:rsidRPr="004D3DEA" w:rsidRDefault="006744E7" w:rsidP="006F4882">
      <w:pPr>
        <w:pStyle w:val="Heading1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PORTÉE </w:t>
      </w:r>
    </w:p>
    <w:p w14:paraId="2C58C8E7" w14:textId="77777777" w:rsidR="006F4882" w:rsidRPr="004D3DEA" w:rsidRDefault="006F4882" w:rsidP="006F4882">
      <w:pPr>
        <w:jc w:val="both"/>
        <w:rPr>
          <w:rFonts w:asciiTheme="majorHAnsi" w:hAnsiTheme="majorHAnsi" w:cs="Arial"/>
        </w:rPr>
      </w:pPr>
    </w:p>
    <w:p w14:paraId="65201B7C" w14:textId="1F6EBA6D" w:rsidR="00FC2A09" w:rsidRPr="004D3DEA" w:rsidRDefault="00FC2A0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  <w:spacing w:val="-2"/>
        </w:rPr>
      </w:pPr>
      <w:r>
        <w:rPr>
          <w:rFonts w:asciiTheme="majorHAnsi" w:hAnsiTheme="majorHAnsi"/>
        </w:rPr>
        <w:t>La CSTIT est une société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État des gouvernements des T.N.-O. et du Nunavut qui est dirigée par un conseil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administration (Conseil de gouvernance) par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entremise de la présidente-directrice générale.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Son siège social se trouve à Yellowknife et des opérations régionales ont lieu à Iqaluit et à Inuvik. </w:t>
      </w:r>
    </w:p>
    <w:p w14:paraId="1BCB4E86" w14:textId="77777777" w:rsidR="00FC2A09" w:rsidRPr="004D3DEA" w:rsidRDefault="00FC2A0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  <w:spacing w:val="-2"/>
        </w:rPr>
      </w:pPr>
    </w:p>
    <w:p w14:paraId="6190226D" w14:textId="3D262CCB" w:rsidR="00FC2A09" w:rsidRDefault="00FC2A0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La CSTIT fait la promotion de la sécurité en milieu de travail par la sensibilisation et la prévention, et elle prend en charge les travailleurs blessés dans un système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indemnisation sans égard à la faute. Ce système est financé par des cotisations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employeurs et est régi par les </w:t>
      </w:r>
      <w:r>
        <w:rPr>
          <w:rFonts w:asciiTheme="majorHAnsi" w:hAnsiTheme="majorHAnsi"/>
          <w:i/>
          <w:iCs/>
        </w:rPr>
        <w:t>Lois sur l</w:t>
      </w:r>
      <w:r w:rsidR="00B76E73">
        <w:rPr>
          <w:rFonts w:asciiTheme="majorHAnsi" w:hAnsiTheme="majorHAnsi"/>
          <w:i/>
          <w:iCs/>
        </w:rPr>
        <w:t>’</w:t>
      </w:r>
      <w:r>
        <w:rPr>
          <w:rFonts w:asciiTheme="majorHAnsi" w:hAnsiTheme="majorHAnsi"/>
          <w:i/>
          <w:iCs/>
        </w:rPr>
        <w:t>indemnisation des travailleurs</w:t>
      </w:r>
      <w:r>
        <w:rPr>
          <w:rFonts w:asciiTheme="majorHAnsi" w:hAnsiTheme="majorHAnsi"/>
        </w:rPr>
        <w:t xml:space="preserve"> des T</w:t>
      </w:r>
      <w:r w:rsidR="00BE7660">
        <w:rPr>
          <w:rFonts w:asciiTheme="majorHAnsi" w:hAnsiTheme="majorHAnsi"/>
        </w:rPr>
        <w:t>.</w:t>
      </w:r>
      <w:r>
        <w:rPr>
          <w:rFonts w:asciiTheme="majorHAnsi" w:hAnsiTheme="majorHAnsi"/>
        </w:rPr>
        <w:t>N</w:t>
      </w:r>
      <w:r w:rsidR="00BE7660">
        <w:rPr>
          <w:rFonts w:asciiTheme="majorHAnsi" w:hAnsiTheme="majorHAnsi"/>
        </w:rPr>
        <w:t>.-</w:t>
      </w:r>
      <w:r>
        <w:rPr>
          <w:rFonts w:asciiTheme="majorHAnsi" w:hAnsiTheme="majorHAnsi"/>
        </w:rPr>
        <w:t>O</w:t>
      </w:r>
      <w:r w:rsidR="00BE76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et du Nunavut.</w:t>
      </w:r>
    </w:p>
    <w:p w14:paraId="71858ED4" w14:textId="77777777" w:rsidR="00F840BD" w:rsidRDefault="00F840BD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</w:p>
    <w:p w14:paraId="2BC5560D" w14:textId="3BA87B8B" w:rsidR="00F840BD" w:rsidRPr="007B35C3" w:rsidRDefault="00F840BD" w:rsidP="00F840BD">
      <w:pPr>
        <w:jc w:val="both"/>
        <w:rPr>
          <w:rFonts w:ascii="Cambria" w:hAnsi="Cambria"/>
        </w:rPr>
      </w:pPr>
      <w:r>
        <w:rPr>
          <w:rFonts w:ascii="Cambria" w:hAnsi="Cambria"/>
        </w:rPr>
        <w:t>La CSTIT est résolue à offrir un environnement exempt de racisme et de discrimination, où les personnes se sentent en sécurité lorsqu</w:t>
      </w:r>
      <w:r w:rsidR="00B76E73">
        <w:rPr>
          <w:rFonts w:ascii="Cambria" w:hAnsi="Cambria"/>
        </w:rPr>
        <w:t>’</w:t>
      </w:r>
      <w:r>
        <w:rPr>
          <w:rFonts w:ascii="Cambria" w:hAnsi="Cambria"/>
        </w:rPr>
        <w:t>elles reçoivent des services.</w:t>
      </w:r>
      <w:r w:rsidR="00B76E73">
        <w:rPr>
          <w:rFonts w:ascii="Cambria" w:hAnsi="Cambria"/>
        </w:rPr>
        <w:t xml:space="preserve"> </w:t>
      </w:r>
      <w:r>
        <w:rPr>
          <w:rFonts w:ascii="Cambria" w:hAnsi="Cambria"/>
        </w:rPr>
        <w:t>Cet objectif peut être atteint par un engagement respectueux à reconnaître l</w:t>
      </w:r>
      <w:r w:rsidR="00B76E73">
        <w:rPr>
          <w:rFonts w:ascii="Cambria" w:hAnsi="Cambria"/>
        </w:rPr>
        <w:t>’</w:t>
      </w:r>
      <w:r>
        <w:rPr>
          <w:rFonts w:ascii="Cambria" w:hAnsi="Cambria"/>
        </w:rPr>
        <w:t>importance des différences culturelles et à valoriser la sécurisation culturelle.</w:t>
      </w:r>
    </w:p>
    <w:p w14:paraId="4C82EE17" w14:textId="77777777" w:rsidR="009B4C39" w:rsidRPr="004D3DEA" w:rsidRDefault="009B4C3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</w:p>
    <w:p w14:paraId="55F4B921" w14:textId="790A78C4" w:rsidR="009B4C39" w:rsidRDefault="009B4C3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Le superviseur, Gestion des cas, relève du </w:t>
      </w:r>
      <w:r w:rsidR="00BE7660">
        <w:rPr>
          <w:rFonts w:asciiTheme="majorHAnsi" w:hAnsiTheme="majorHAnsi"/>
        </w:rPr>
        <w:t>chef</w:t>
      </w:r>
      <w:r>
        <w:rPr>
          <w:rFonts w:asciiTheme="majorHAnsi" w:hAnsiTheme="majorHAnsi"/>
        </w:rPr>
        <w:t>, Gestion des cas et Soins de santé, qui se trouve à Iqaluit.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Le titulaire du poste compte neuf subordonnés directs, dont sept gestionnaires de cas et deux aides à la gestion de cas.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Cette équipe est responsable des décisions continues en matière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admissibilité et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arbitrage se rapportant aux demandes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indemnisation de travailleurs blessés.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Les gestionnaires de cas s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occupent des cas de réclamation complexes et à long terme, notamment la réadaptation professionnelle.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unité gère environ 1</w:t>
      </w:r>
      <w:r w:rsidR="00BE7660">
        <w:rPr>
          <w:rFonts w:asciiTheme="majorHAnsi" w:hAnsiTheme="majorHAnsi"/>
        </w:rPr>
        <w:t> </w:t>
      </w:r>
      <w:r>
        <w:rPr>
          <w:rFonts w:asciiTheme="majorHAnsi" w:hAnsiTheme="majorHAnsi"/>
        </w:rPr>
        <w:t>268</w:t>
      </w:r>
      <w:r w:rsidR="00BE7660">
        <w:rPr>
          <w:rFonts w:asciiTheme="majorHAnsi" w:hAnsiTheme="majorHAnsi"/>
        </w:rPr>
        <w:t> </w:t>
      </w:r>
      <w:r>
        <w:rPr>
          <w:rFonts w:asciiTheme="majorHAnsi" w:hAnsiTheme="majorHAnsi"/>
        </w:rPr>
        <w:t>réclamations en cours par année.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 mauvaises décisions découlant de la gestion de cas induisent des difficultés pour les travailleurs blessés, une perte financière pour le Fonds de protection des travailleurs de la CSTIT</w:t>
      </w:r>
      <w:r w:rsidR="00BE7660">
        <w:rPr>
          <w:rFonts w:asciiTheme="majorHAnsi" w:hAnsiTheme="majorHAnsi"/>
        </w:rPr>
        <w:t xml:space="preserve"> et une</w:t>
      </w:r>
      <w:r>
        <w:rPr>
          <w:rFonts w:asciiTheme="majorHAnsi" w:hAnsiTheme="majorHAnsi"/>
        </w:rPr>
        <w:t xml:space="preserve"> publicité négative pour la Commission.</w:t>
      </w:r>
    </w:p>
    <w:p w14:paraId="286EF97C" w14:textId="77777777" w:rsidR="00CB507F" w:rsidRPr="004D3DEA" w:rsidRDefault="00CB507F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</w:p>
    <w:p w14:paraId="4465E35D" w14:textId="2F9505EE" w:rsidR="009B4C39" w:rsidRPr="004D3DEA" w:rsidRDefault="009B4C3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Le superviseur, Gestion des cas, est chargé de s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assurer que les gestionnaires de cas offrent un service à la clientèle de qualité aux travailleurs blessés et à leurs employeurs.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Le titulaire a lui-même une petite charge de travail et assure la gestion des cas pour les réclamations de nature complexe ou controversée, afin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assurer une enquête appropriée et des avantages équitables.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Il est appelé à examiner et à approuver toutes les décisions défavorables des membres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équipe, à préparer des notes de synthèse et à veiller à la qualité des services.</w:t>
      </w:r>
    </w:p>
    <w:p w14:paraId="13D02E0C" w14:textId="77777777" w:rsidR="009B4C39" w:rsidRPr="004D3DEA" w:rsidRDefault="009B4C3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</w:rPr>
      </w:pPr>
    </w:p>
    <w:p w14:paraId="34832BDF" w14:textId="6FB57909" w:rsidR="009B4C39" w:rsidRPr="004D3DEA" w:rsidRDefault="000212B6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  <w:spacing w:val="-2"/>
        </w:rPr>
      </w:pPr>
      <w:r>
        <w:rPr>
          <w:rFonts w:asciiTheme="majorHAnsi" w:hAnsiTheme="majorHAnsi"/>
        </w:rPr>
        <w:t>Le superviseur, Gestion de cas, détient un pouvoir de dépenser total de 475 000 $ par demande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indemnisation.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Entre 1 $ et 25 000 $ peuvent être alloués pour chaque transaction,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notamment sous forme des prestations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invalidité,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un soutien médical ou de dépenses nécessaires à une réadaptation.</w:t>
      </w:r>
    </w:p>
    <w:p w14:paraId="2736D59E" w14:textId="77777777" w:rsidR="00FC2A09" w:rsidRPr="004D3DEA" w:rsidRDefault="00FC2A09" w:rsidP="006F4882">
      <w:pPr>
        <w:tabs>
          <w:tab w:val="left" w:pos="-720"/>
        </w:tabs>
        <w:suppressAutoHyphens/>
        <w:jc w:val="both"/>
        <w:rPr>
          <w:rFonts w:asciiTheme="majorHAnsi" w:hAnsiTheme="majorHAnsi" w:cs="Arial"/>
          <w:spacing w:val="-2"/>
        </w:rPr>
      </w:pPr>
    </w:p>
    <w:p w14:paraId="7DADCC70" w14:textId="77777777" w:rsidR="006744E7" w:rsidRPr="004D3DEA" w:rsidRDefault="006744E7" w:rsidP="006F4882">
      <w:pPr>
        <w:pStyle w:val="Heading3"/>
        <w:widowControl/>
        <w:numPr>
          <w:ilvl w:val="0"/>
          <w:numId w:val="0"/>
        </w:numPr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RESPONSABILITÉS</w:t>
      </w:r>
    </w:p>
    <w:p w14:paraId="0F88CDD1" w14:textId="77777777" w:rsidR="006744E7" w:rsidRPr="004D3DEA" w:rsidRDefault="006744E7" w:rsidP="006F4882">
      <w:pPr>
        <w:pStyle w:val="BodyText3"/>
        <w:rPr>
          <w:rFonts w:asciiTheme="majorHAnsi" w:hAnsiTheme="majorHAnsi"/>
          <w:sz w:val="24"/>
        </w:rPr>
      </w:pPr>
    </w:p>
    <w:p w14:paraId="0E4C7869" w14:textId="5B1557D8" w:rsidR="0054715B" w:rsidRPr="004D3DEA" w:rsidRDefault="000212B6" w:rsidP="006F4882">
      <w:pPr>
        <w:pStyle w:val="BodyText3"/>
        <w:numPr>
          <w:ilvl w:val="0"/>
          <w:numId w:val="7"/>
        </w:numPr>
        <w:ind w:left="36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Contrôle de la qualité du rendement du personnel au sein de l</w:t>
      </w:r>
      <w:r w:rsidR="00B76E73">
        <w:rPr>
          <w:rFonts w:asciiTheme="majorHAnsi" w:hAnsiTheme="majorHAnsi"/>
          <w:b/>
          <w:sz w:val="24"/>
        </w:rPr>
        <w:t>’</w:t>
      </w:r>
      <w:r>
        <w:rPr>
          <w:rFonts w:asciiTheme="majorHAnsi" w:hAnsiTheme="majorHAnsi"/>
          <w:b/>
          <w:sz w:val="24"/>
        </w:rPr>
        <w:t>unité de la gestion de cas, et responsabilisation à l</w:t>
      </w:r>
      <w:r w:rsidR="00B76E73">
        <w:rPr>
          <w:rFonts w:asciiTheme="majorHAnsi" w:hAnsiTheme="majorHAnsi"/>
          <w:b/>
          <w:sz w:val="24"/>
        </w:rPr>
        <w:t>’</w:t>
      </w:r>
      <w:r>
        <w:rPr>
          <w:rFonts w:asciiTheme="majorHAnsi" w:hAnsiTheme="majorHAnsi"/>
          <w:b/>
          <w:sz w:val="24"/>
        </w:rPr>
        <w:t>égard des décisions prises par les gestionnaires de cas</w:t>
      </w:r>
      <w:r w:rsidR="00B76E73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Le superviseur, Gestion de cas, a plus particulièrement les responsabilités suivantes :</w:t>
      </w:r>
    </w:p>
    <w:p w14:paraId="26B41170" w14:textId="3DF65476" w:rsidR="006744E7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Superviser les mécanismes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 xml:space="preserve">assurance </w:t>
      </w:r>
      <w:r w:rsidR="00BE7660">
        <w:rPr>
          <w:rFonts w:asciiTheme="majorHAnsi" w:hAnsiTheme="majorHAnsi"/>
          <w:sz w:val="24"/>
        </w:rPr>
        <w:t xml:space="preserve">de la </w:t>
      </w:r>
      <w:r>
        <w:rPr>
          <w:rFonts w:asciiTheme="majorHAnsi" w:hAnsiTheme="majorHAnsi"/>
          <w:sz w:val="24"/>
        </w:rPr>
        <w:t>qualité et les normes de rendement applicables afin de surveiller et de consigner l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atteinte des objectifs opérationnels;</w:t>
      </w:r>
    </w:p>
    <w:p w14:paraId="650DBF7D" w14:textId="15C72D33" w:rsidR="00FA6828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Contrôler la charge de travail et la gestion des dossiers afin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assurer une distribution équitable des tâches ainsi que la réalisation du travail dans un délai raisonnable;</w:t>
      </w:r>
    </w:p>
    <w:p w14:paraId="5B781B64" w14:textId="3310DDE0" w:rsidR="00FA6828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Fournir un soutien constant aux employés en aidant à alléger une charge de travail plus élevée en raison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un manque de personnel ou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un volume accru de demandes;</w:t>
      </w:r>
    </w:p>
    <w:p w14:paraId="29BFA445" w14:textId="4A57B4E4" w:rsidR="00FA6828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Vérifier toute décision de refus, diminution, suspension ou arrêt de versement de prestations afin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assurer la conformité aux lois, aux politiques et aux procédures;</w:t>
      </w:r>
    </w:p>
    <w:p w14:paraId="380DB5D8" w14:textId="77777777" w:rsidR="00FA6828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Collaborer avec le personnel à la résolution des plaintes des clients;</w:t>
      </w:r>
    </w:p>
    <w:p w14:paraId="010603F4" w14:textId="5E403490" w:rsidR="00FA6828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Diriger des réunions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équipe hebdomadaires;</w:t>
      </w:r>
    </w:p>
    <w:p w14:paraId="5ED24B01" w14:textId="12846595" w:rsidR="00FA6828" w:rsidRPr="004D3DEA" w:rsidRDefault="00FA6828" w:rsidP="006F4882">
      <w:pPr>
        <w:pStyle w:val="BodyText3"/>
        <w:numPr>
          <w:ilvl w:val="0"/>
          <w:numId w:val="6"/>
        </w:numPr>
        <w:tabs>
          <w:tab w:val="clear" w:pos="1080"/>
          <w:tab w:val="num" w:pos="-450"/>
        </w:tabs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Communiquer efficacement d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importantes questions ou préoccupations soulevées par les membres de l</w:t>
      </w:r>
      <w:r w:rsidR="00B76E73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 xml:space="preserve">équipe au </w:t>
      </w:r>
      <w:r w:rsidR="00BE7660">
        <w:rPr>
          <w:rFonts w:asciiTheme="majorHAnsi" w:hAnsiTheme="majorHAnsi"/>
          <w:sz w:val="24"/>
        </w:rPr>
        <w:t>chef</w:t>
      </w:r>
      <w:r>
        <w:rPr>
          <w:rFonts w:asciiTheme="majorHAnsi" w:hAnsiTheme="majorHAnsi"/>
          <w:sz w:val="24"/>
        </w:rPr>
        <w:t>, Gestion de cas et pensions.</w:t>
      </w:r>
    </w:p>
    <w:p w14:paraId="44945B60" w14:textId="77777777" w:rsidR="006F4882" w:rsidRPr="004D3DEA" w:rsidRDefault="006F4882" w:rsidP="006F4882">
      <w:pPr>
        <w:jc w:val="both"/>
        <w:rPr>
          <w:rFonts w:asciiTheme="majorHAnsi" w:hAnsiTheme="majorHAnsi" w:cs="Arial"/>
        </w:rPr>
      </w:pPr>
    </w:p>
    <w:p w14:paraId="0A825A67" w14:textId="6C8375BF" w:rsidR="006744E7" w:rsidRPr="004D3DEA" w:rsidRDefault="006744E7" w:rsidP="006F4882">
      <w:pPr>
        <w:numPr>
          <w:ilvl w:val="0"/>
          <w:numId w:val="7"/>
        </w:numPr>
        <w:ind w:left="36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/>
          <w:b/>
        </w:rPr>
        <w:t xml:space="preserve"> Supervision du personnel de l</w:t>
      </w:r>
      <w:r w:rsidR="00B76E73">
        <w:rPr>
          <w:rFonts w:asciiTheme="majorHAnsi" w:hAnsiTheme="majorHAnsi"/>
          <w:b/>
        </w:rPr>
        <w:t>’</w:t>
      </w:r>
      <w:r>
        <w:rPr>
          <w:rFonts w:asciiTheme="majorHAnsi" w:hAnsiTheme="majorHAnsi"/>
          <w:b/>
        </w:rPr>
        <w:t>unité de la gestion de cas</w:t>
      </w:r>
      <w:r w:rsidR="00BE7660">
        <w:rPr>
          <w:rFonts w:asciiTheme="majorHAnsi" w:hAnsiTheme="majorHAnsi"/>
          <w:b/>
        </w:rPr>
        <w:t> :</w:t>
      </w:r>
    </w:p>
    <w:p w14:paraId="45D2E3CE" w14:textId="77777777" w:rsidR="006744E7" w:rsidRPr="004D3DEA" w:rsidRDefault="00B570CF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lastRenderedPageBreak/>
        <w:t>Coordonner, diriger et superviser le rendement quotidien des employés sous son autorité;</w:t>
      </w:r>
    </w:p>
    <w:p w14:paraId="467A2D21" w14:textId="77777777" w:rsidR="00B570CF" w:rsidRPr="004D3DEA" w:rsidRDefault="00B570CF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Approuver et contrôler les congés et présences des employés;</w:t>
      </w:r>
    </w:p>
    <w:p w14:paraId="582215EA" w14:textId="77777777" w:rsidR="00B570CF" w:rsidRPr="004D3DEA" w:rsidRDefault="00B570CF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Entreprendre et exécuter la dotation en personnel au sein du comité de sélection des candidatures;</w:t>
      </w:r>
    </w:p>
    <w:p w14:paraId="2EAFA46D" w14:textId="77777777" w:rsidR="00B570CF" w:rsidRPr="004D3DEA" w:rsidRDefault="00B570CF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Préparer les descriptions de poste au besoin;</w:t>
      </w:r>
    </w:p>
    <w:p w14:paraId="2343AB16" w14:textId="7CB35442" w:rsidR="00B570CF" w:rsidRPr="004D3DEA" w:rsidRDefault="00B570CF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Offrir la formation initiale et continue, ainsi que des activités de perfectionnement, à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équipe de la gestion de cas afin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assurer un service de qualité en tout temps;</w:t>
      </w:r>
    </w:p>
    <w:p w14:paraId="76073B63" w14:textId="77777777" w:rsidR="00B570CF" w:rsidRPr="004D3DEA" w:rsidRDefault="00B570CF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Surveiller le rendement selon le modèle de gestion des compétences et du rendement de la CSTIT, et réaliser les évaluations de rendement annuelles et les vérifications continues;</w:t>
      </w:r>
    </w:p>
    <w:p w14:paraId="0E7E4159" w14:textId="77777777" w:rsidR="00B570CF" w:rsidRPr="004D3DEA" w:rsidRDefault="002E77C3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Prendre des mesures disciplinaires, au besoin, non sans avoir consulté le gestionnaire et le personnel des Ressources humaines;</w:t>
      </w:r>
    </w:p>
    <w:p w14:paraId="1C9DBAE4" w14:textId="51F0BFC0" w:rsidR="002E77C3" w:rsidRPr="004D3DEA" w:rsidRDefault="002E77C3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Accompagner le personnel en vue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une amélioration continue des compétences et des connaissances techniques;</w:t>
      </w:r>
    </w:p>
    <w:p w14:paraId="6A178236" w14:textId="145AEA1B" w:rsidR="002E77C3" w:rsidRPr="004D3DEA" w:rsidRDefault="002E77C3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Dégager les forces, les lacunes de rendement et les besoins de formation au moyen de vérifications de dossiers,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examens du rendement et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autres mécanismes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assurance de la qualité;</w:t>
      </w:r>
    </w:p>
    <w:p w14:paraId="22EB331A" w14:textId="1E516C2F" w:rsidR="00CC3D78" w:rsidRPr="004D3DEA" w:rsidRDefault="00CC3D78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Surveiller le déroulement des tâches, recommander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amélioration de processus et entreprendre des changements;</w:t>
      </w:r>
    </w:p>
    <w:p w14:paraId="34142BFC" w14:textId="5F50F7B4" w:rsidR="00CC3D78" w:rsidRPr="004D3DEA" w:rsidRDefault="00CC3D78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Communiquer les besoins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unité au personnel sur les questions relatives au déroulement des tâches, aux améliorations, à la satisfaction au travail, au moral des employés, etc. </w:t>
      </w:r>
    </w:p>
    <w:p w14:paraId="04E83D97" w14:textId="77777777" w:rsidR="006744E7" w:rsidRPr="004D3DEA" w:rsidRDefault="006744E7" w:rsidP="006F4882">
      <w:pPr>
        <w:jc w:val="both"/>
        <w:rPr>
          <w:rFonts w:asciiTheme="majorHAnsi" w:hAnsiTheme="majorHAnsi" w:cs="Arial"/>
        </w:rPr>
      </w:pPr>
    </w:p>
    <w:p w14:paraId="5C8F7191" w14:textId="1E00F59D" w:rsidR="006744E7" w:rsidRPr="004D3DEA" w:rsidRDefault="00767FCE" w:rsidP="006F4882">
      <w:pPr>
        <w:numPr>
          <w:ilvl w:val="0"/>
          <w:numId w:val="7"/>
        </w:numPr>
        <w:ind w:left="36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/>
          <w:b/>
        </w:rPr>
        <w:t xml:space="preserve">Soutien et assistance au </w:t>
      </w:r>
      <w:r w:rsidR="00BE7660">
        <w:rPr>
          <w:rFonts w:asciiTheme="majorHAnsi" w:hAnsiTheme="majorHAnsi"/>
          <w:b/>
        </w:rPr>
        <w:t>chef</w:t>
      </w:r>
      <w:r>
        <w:rPr>
          <w:rFonts w:asciiTheme="majorHAnsi" w:hAnsiTheme="majorHAnsi"/>
          <w:b/>
        </w:rPr>
        <w:t>, Gestion de cas et Soins de santé :</w:t>
      </w:r>
    </w:p>
    <w:p w14:paraId="0604ABDC" w14:textId="4691BBA1" w:rsidR="006744E7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Rédiger les notes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information </w:t>
      </w:r>
      <w:r w:rsidR="00BE7660">
        <w:rPr>
          <w:rFonts w:asciiTheme="majorHAnsi" w:hAnsiTheme="majorHAnsi"/>
        </w:rPr>
        <w:t>ministérielles</w:t>
      </w:r>
      <w:r>
        <w:rPr>
          <w:rFonts w:asciiTheme="majorHAnsi" w:hAnsiTheme="majorHAnsi"/>
        </w:rPr>
        <w:t>, au besoin;</w:t>
      </w:r>
    </w:p>
    <w:p w14:paraId="7C41C4C6" w14:textId="77777777" w:rsidR="00767FCE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Répondre aux lettres et aux demandes de renseignements des demandeurs, au besoin;</w:t>
      </w:r>
    </w:p>
    <w:p w14:paraId="0226E66E" w14:textId="51DB1DFF" w:rsidR="00767FCE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Aider à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établissement des objectifs généraux des Services des réclamations;</w:t>
      </w:r>
    </w:p>
    <w:p w14:paraId="0B4832FE" w14:textId="77777777" w:rsidR="00B76E73" w:rsidRPr="00B76E73" w:rsidRDefault="00767FCE" w:rsidP="004D3DEA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Contribuer à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exécution des tâches liées au suivi du rendement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unité;</w:t>
      </w:r>
    </w:p>
    <w:p w14:paraId="2962BF3D" w14:textId="7B5F1F7F" w:rsidR="00767FCE" w:rsidRPr="004D3DEA" w:rsidRDefault="00767FCE" w:rsidP="004D3DEA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Établir, mettre en œuvre et surveiller le plan de travail des unités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arbitrage et de la gestion de cas;</w:t>
      </w:r>
    </w:p>
    <w:p w14:paraId="4C4F4042" w14:textId="0E18CD2F" w:rsidR="00767FCE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Interagir avec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autres superviseurs de la division pour résoudre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éventuels problèmes et rationaliser les processus;</w:t>
      </w:r>
    </w:p>
    <w:p w14:paraId="1760FE31" w14:textId="77777777" w:rsidR="00767FCE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Examiner et analyser des données statistiques, au besoin;</w:t>
      </w:r>
    </w:p>
    <w:p w14:paraId="7F046BF3" w14:textId="77777777" w:rsidR="00767FCE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Participer à des réunions et à des projets entre divisions, au besoin;</w:t>
      </w:r>
    </w:p>
    <w:p w14:paraId="67AE346C" w14:textId="77777777" w:rsidR="00767FCE" w:rsidRPr="004D3DEA" w:rsidRDefault="00767FCE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Agir comme chef, Gestion de cas et pensions, sur demande;</w:t>
      </w:r>
    </w:p>
    <w:p w14:paraId="211E09D9" w14:textId="6F19EF64" w:rsidR="00447E84" w:rsidRPr="004D3DEA" w:rsidRDefault="00447E84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Fournir du soutien, des renseignements, des conseils et des recommandations au </w:t>
      </w:r>
      <w:r w:rsidR="00BE7660">
        <w:rPr>
          <w:rFonts w:asciiTheme="majorHAnsi" w:hAnsiTheme="majorHAnsi"/>
        </w:rPr>
        <w:t>chef</w:t>
      </w:r>
      <w:r>
        <w:rPr>
          <w:rFonts w:asciiTheme="majorHAnsi" w:hAnsiTheme="majorHAnsi"/>
        </w:rPr>
        <w:t>, Gestion de cas et pensions;</w:t>
      </w:r>
    </w:p>
    <w:p w14:paraId="186C91EA" w14:textId="34A71EA3" w:rsidR="00447E84" w:rsidRPr="004D3DEA" w:rsidRDefault="00447E84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Aider à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élaboration et à la mise en œuvre de politiques qui concernent les Services des réclamations.</w:t>
      </w:r>
    </w:p>
    <w:p w14:paraId="18268DCF" w14:textId="77777777" w:rsidR="006744E7" w:rsidRPr="004D3DEA" w:rsidRDefault="006744E7" w:rsidP="006F4882">
      <w:pPr>
        <w:jc w:val="both"/>
        <w:rPr>
          <w:rFonts w:asciiTheme="majorHAnsi" w:hAnsiTheme="majorHAnsi" w:cs="Arial"/>
        </w:rPr>
      </w:pPr>
    </w:p>
    <w:p w14:paraId="1A1B02D6" w14:textId="168C7149" w:rsidR="006744E7" w:rsidRPr="004D3DEA" w:rsidRDefault="00447E84" w:rsidP="006F4882">
      <w:pPr>
        <w:numPr>
          <w:ilvl w:val="0"/>
          <w:numId w:val="7"/>
        </w:numPr>
        <w:ind w:left="360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/>
          <w:b/>
        </w:rPr>
        <w:t>Gestion d</w:t>
      </w:r>
      <w:r w:rsidR="00B76E73">
        <w:rPr>
          <w:rFonts w:asciiTheme="majorHAnsi" w:hAnsiTheme="majorHAnsi"/>
          <w:b/>
        </w:rPr>
        <w:t>’</w:t>
      </w:r>
      <w:r>
        <w:rPr>
          <w:rFonts w:asciiTheme="majorHAnsi" w:hAnsiTheme="majorHAnsi"/>
          <w:b/>
        </w:rPr>
        <w:t xml:space="preserve">une petite charge de cas à la discrétion du chef, Gestion des cas et Soins de santé : </w:t>
      </w:r>
    </w:p>
    <w:p w14:paraId="19488DE8" w14:textId="2687C580" w:rsidR="006744E7" w:rsidRPr="004D3DEA" w:rsidRDefault="00447E84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Assurer la gestion des cas pour des réclamations confidentielles ou de nature complexe ou controversée afin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assurer une enquête appropriée et des avantages équitables;</w:t>
      </w:r>
    </w:p>
    <w:p w14:paraId="0F78BFAC" w14:textId="2EA6F3E6" w:rsidR="00447E84" w:rsidRPr="004D3DEA" w:rsidRDefault="00447E84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Trancher, gérer et accélérer les demandes 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indemnisation majeures de nature complexe et entraînant une perte de temps au travail;</w:t>
      </w:r>
    </w:p>
    <w:p w14:paraId="265DDA6A" w14:textId="30C86CA0" w:rsidR="00447E84" w:rsidRPr="004D3DEA" w:rsidRDefault="00447E84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Évaluer les répercussions professionnelles, sociales, économiques et émotionnelles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incident sur la vie quotidienne du travailleur afin de déterminer le droit à la réadaptation professionnelle;</w:t>
      </w:r>
    </w:p>
    <w:p w14:paraId="7990DF6F" w14:textId="77777777" w:rsidR="00447E84" w:rsidRPr="004D3DEA" w:rsidRDefault="00447E84" w:rsidP="006F4882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Élaborer un plan de soutien professionnel réaliste avec le travailleur pour favoriser un retour rapide et sécuritaire au travail;</w:t>
      </w:r>
    </w:p>
    <w:p w14:paraId="45D897BD" w14:textId="77777777" w:rsidR="006744E7" w:rsidRPr="004D3DEA" w:rsidRDefault="00447E84" w:rsidP="00447E84">
      <w:pPr>
        <w:numPr>
          <w:ilvl w:val="0"/>
          <w:numId w:val="3"/>
        </w:numPr>
        <w:tabs>
          <w:tab w:val="clear" w:pos="72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Gérer le processus de réadaptation.</w:t>
      </w:r>
    </w:p>
    <w:p w14:paraId="21421597" w14:textId="77777777" w:rsidR="006744E7" w:rsidRPr="004D3DEA" w:rsidRDefault="006744E7" w:rsidP="006F4882">
      <w:pPr>
        <w:jc w:val="both"/>
        <w:rPr>
          <w:rFonts w:asciiTheme="majorHAnsi" w:hAnsiTheme="majorHAnsi" w:cs="Arial"/>
        </w:rPr>
      </w:pPr>
    </w:p>
    <w:p w14:paraId="7F42F2DB" w14:textId="77777777" w:rsidR="006744E7" w:rsidRPr="004D3DEA" w:rsidRDefault="006744E7" w:rsidP="006F4882">
      <w:pPr>
        <w:pStyle w:val="Heading3"/>
        <w:widowControl/>
        <w:numPr>
          <w:ilvl w:val="0"/>
          <w:numId w:val="0"/>
        </w:numPr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CONNAISSANCES, COMPÉTENCES ET CAPACITÉS</w:t>
      </w:r>
    </w:p>
    <w:p w14:paraId="466BB3D2" w14:textId="77777777" w:rsidR="00447E84" w:rsidRPr="004D3DEA" w:rsidRDefault="00447E84" w:rsidP="00447E84">
      <w:pPr>
        <w:rPr>
          <w:rFonts w:asciiTheme="majorHAnsi" w:hAnsiTheme="majorHAnsi"/>
        </w:rPr>
      </w:pPr>
    </w:p>
    <w:p w14:paraId="2CDE474C" w14:textId="77777777" w:rsidR="00904E19" w:rsidRPr="009A0D8A" w:rsidRDefault="00D43801" w:rsidP="009A0D8A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Capacité de superviser une unité complexe et diversifiée avec un minimum de supervision directe</w:t>
      </w:r>
    </w:p>
    <w:p w14:paraId="6661F770" w14:textId="77777777" w:rsidR="009A0D8A" w:rsidRPr="009A0D8A" w:rsidRDefault="00904E19" w:rsidP="009A0D8A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Compétences avancées en communication orale et écrite pour établir et maintenir un large éventail de contacts avec les professionnels de la santé et organismes communautaires</w:t>
      </w:r>
    </w:p>
    <w:p w14:paraId="575E72CE" w14:textId="27577ED9" w:rsidR="00904E19" w:rsidRPr="009A0D8A" w:rsidRDefault="00904E19" w:rsidP="009A0D8A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Capacité démontrée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analyser et de prendre des décisions indépendantes, de penser de manière critique et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innover pour créer ou modifier une stratégie ou des techniques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 xml:space="preserve">intervention en fonction des besoins individuels des clients </w:t>
      </w:r>
    </w:p>
    <w:p w14:paraId="5D6730FC" w14:textId="6A83F36A" w:rsidR="00447E84" w:rsidRPr="004D3DEA" w:rsidRDefault="009A0D8A" w:rsidP="00F639B6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Capacité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agir comme mentor, de contribuer au perfectionnement et à la formation du personnel,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inspirer l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excellence et de réaliser des buts organisationnels</w:t>
      </w:r>
    </w:p>
    <w:p w14:paraId="5ACF1FD1" w14:textId="77777777" w:rsidR="00447E84" w:rsidRPr="004D3DEA" w:rsidRDefault="00447E84" w:rsidP="00F639B6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Entregent démontré et aptitudes pour la résolution de conflits et de problèmes dans les interactions avec les requérants, plus particulièrement ceux qui sont irrités</w:t>
      </w:r>
    </w:p>
    <w:p w14:paraId="570480D2" w14:textId="1636082C" w:rsidR="00447E84" w:rsidRPr="004D3DEA" w:rsidRDefault="00904E19" w:rsidP="00F639B6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Capacité élevée de travailler en collaboration avec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autres superviseurs de la division pour créer une équipe simplifiée, qui fait preuve de cohésion</w:t>
      </w:r>
    </w:p>
    <w:p w14:paraId="62CEE7B5" w14:textId="1D20AA50" w:rsidR="00447E84" w:rsidRPr="009A0D8A" w:rsidRDefault="00447E84" w:rsidP="0037609E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Capacité d</w:t>
      </w:r>
      <w:r w:rsidR="00B76E73">
        <w:rPr>
          <w:rFonts w:asciiTheme="majorHAnsi" w:hAnsiTheme="majorHAnsi"/>
          <w:snapToGrid/>
        </w:rPr>
        <w:t>’</w:t>
      </w:r>
      <w:r>
        <w:rPr>
          <w:rFonts w:asciiTheme="majorHAnsi" w:hAnsiTheme="majorHAnsi"/>
          <w:snapToGrid/>
        </w:rPr>
        <w:t>interpréter les lois et les règlements, ou de résoudre équitablement de complexes problèmes avec des demandeurs</w:t>
      </w:r>
    </w:p>
    <w:p w14:paraId="369BE86A" w14:textId="77777777" w:rsidR="00447E84" w:rsidRDefault="00447E84" w:rsidP="00F639B6">
      <w:pPr>
        <w:pStyle w:val="Header"/>
        <w:widowControl/>
        <w:numPr>
          <w:ilvl w:val="0"/>
          <w:numId w:val="6"/>
        </w:numPr>
        <w:tabs>
          <w:tab w:val="clear" w:pos="1080"/>
          <w:tab w:val="clear" w:pos="4320"/>
          <w:tab w:val="clear" w:pos="8640"/>
          <w:tab w:val="num" w:pos="-450"/>
        </w:tabs>
        <w:ind w:left="720"/>
        <w:jc w:val="both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Entregent pour favoriser une participation active dans une équipe interfonctionnelle</w:t>
      </w:r>
    </w:p>
    <w:p w14:paraId="1630064C" w14:textId="77777777" w:rsidR="004D3DEA" w:rsidRPr="0084499F" w:rsidRDefault="004D3DEA" w:rsidP="004D3DEA">
      <w:pPr>
        <w:pStyle w:val="Header"/>
        <w:widowControl/>
        <w:numPr>
          <w:ilvl w:val="0"/>
          <w:numId w:val="6"/>
        </w:numPr>
        <w:tabs>
          <w:tab w:val="clear" w:pos="1080"/>
          <w:tab w:val="num" w:pos="360"/>
        </w:tabs>
        <w:ind w:left="720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</w:rPr>
        <w:t>Souci de la confidentialité</w:t>
      </w:r>
    </w:p>
    <w:p w14:paraId="4B6E58A4" w14:textId="77777777" w:rsidR="004D3DEA" w:rsidRPr="0084499F" w:rsidRDefault="004D3DEA" w:rsidP="004D3DEA">
      <w:pPr>
        <w:pStyle w:val="Header"/>
        <w:widowControl/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Capacité de bien fonctionner dans un environnement informatisé où sont utilisées des applications courantes</w:t>
      </w:r>
    </w:p>
    <w:p w14:paraId="634B6CE8" w14:textId="77777777" w:rsidR="004D3DEA" w:rsidRPr="004D3DEA" w:rsidRDefault="004D3DEA" w:rsidP="004D3DEA">
      <w:pPr>
        <w:pStyle w:val="Header"/>
        <w:widowControl/>
        <w:tabs>
          <w:tab w:val="clear" w:pos="4320"/>
          <w:tab w:val="clear" w:pos="8640"/>
        </w:tabs>
        <w:ind w:left="720"/>
        <w:jc w:val="both"/>
        <w:rPr>
          <w:rFonts w:asciiTheme="majorHAnsi" w:hAnsiTheme="majorHAnsi" w:cs="Arial"/>
          <w:snapToGrid/>
          <w:szCs w:val="24"/>
        </w:rPr>
      </w:pPr>
    </w:p>
    <w:p w14:paraId="5F9DFE9C" w14:textId="77777777" w:rsidR="006744E7" w:rsidRPr="004D3DEA" w:rsidRDefault="006744E7" w:rsidP="006F4882">
      <w:pPr>
        <w:jc w:val="both"/>
        <w:rPr>
          <w:rFonts w:asciiTheme="majorHAnsi" w:hAnsiTheme="majorHAnsi" w:cs="Arial"/>
        </w:rPr>
      </w:pPr>
    </w:p>
    <w:p w14:paraId="4B3D89F4" w14:textId="77777777" w:rsidR="006744E7" w:rsidRPr="004D3DEA" w:rsidRDefault="006744E7" w:rsidP="006F4882">
      <w:pPr>
        <w:jc w:val="both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/>
          <w:b/>
          <w:u w:val="single"/>
        </w:rPr>
        <w:t>En général, les qualifications susmentionnées seraient acquises par :</w:t>
      </w:r>
    </w:p>
    <w:p w14:paraId="12E222F8" w14:textId="77777777" w:rsidR="00F639B6" w:rsidRPr="004D3DEA" w:rsidRDefault="00F639B6" w:rsidP="00F639B6">
      <w:pPr>
        <w:jc w:val="both"/>
        <w:rPr>
          <w:rFonts w:asciiTheme="majorHAnsi" w:hAnsiTheme="majorHAnsi" w:cs="Arial"/>
        </w:rPr>
      </w:pPr>
    </w:p>
    <w:p w14:paraId="086448F5" w14:textId="73773ABA" w:rsidR="00B03C26" w:rsidRPr="004D3DEA" w:rsidRDefault="00B03C26" w:rsidP="00F639B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Un baccalauréat en sciences humaines ou sociales, combiné avec une expérience de cinq ans en gestion de cas à des niveaux de responsabilité croissants, dont trois dans le domaine de la supervision (expérience démontrée) –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autres équivalences seront considérées.</w:t>
      </w:r>
    </w:p>
    <w:p w14:paraId="0A4F8FB6" w14:textId="77777777" w:rsidR="00B03C26" w:rsidRPr="004D3DEA" w:rsidRDefault="00B03C26" w:rsidP="00F639B6">
      <w:pPr>
        <w:jc w:val="both"/>
        <w:rPr>
          <w:rFonts w:asciiTheme="majorHAnsi" w:hAnsiTheme="majorHAnsi" w:cs="Arial"/>
        </w:rPr>
      </w:pPr>
    </w:p>
    <w:p w14:paraId="2948EF24" w14:textId="77777777" w:rsidR="00B03C26" w:rsidRPr="004D3DEA" w:rsidRDefault="00B03C26" w:rsidP="00F639B6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/>
          <w:b/>
        </w:rPr>
        <w:t>Atouts</w:t>
      </w:r>
    </w:p>
    <w:p w14:paraId="6E0B107E" w14:textId="77777777" w:rsidR="00C97AA8" w:rsidRPr="004D3DEA" w:rsidRDefault="00C97AA8" w:rsidP="00F639B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Expérience dans le suivi des charges de travail et de la qualité des résultats</w:t>
      </w:r>
    </w:p>
    <w:p w14:paraId="39849880" w14:textId="7DE5522D" w:rsidR="00B03C26" w:rsidRPr="004D3DEA" w:rsidRDefault="00B03C26" w:rsidP="00F639B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Expérience dans le domaine des assurances ou de l</w:t>
      </w:r>
      <w:r w:rsidR="00B76E73">
        <w:rPr>
          <w:rFonts w:asciiTheme="majorHAnsi" w:hAnsiTheme="majorHAnsi"/>
        </w:rPr>
        <w:t>’</w:t>
      </w:r>
      <w:r>
        <w:rPr>
          <w:rFonts w:asciiTheme="majorHAnsi" w:hAnsiTheme="majorHAnsi"/>
        </w:rPr>
        <w:t>indemnisation des travailleurs</w:t>
      </w:r>
    </w:p>
    <w:p w14:paraId="2EDB418A" w14:textId="77777777" w:rsidR="00B03C26" w:rsidRPr="004D3DEA" w:rsidRDefault="00B03C26" w:rsidP="00F639B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Expérience dans des environnements de gestion de cas complexes</w:t>
      </w:r>
    </w:p>
    <w:p w14:paraId="2C6E1936" w14:textId="77777777" w:rsidR="00B03C26" w:rsidRPr="004D3DEA" w:rsidRDefault="00B03C26" w:rsidP="00F639B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Expérience dans le travail à distance ou sur des chantiers éloignés</w:t>
      </w:r>
    </w:p>
    <w:p w14:paraId="7AC14074" w14:textId="77777777" w:rsidR="00B76E73" w:rsidRPr="004D3DEA" w:rsidRDefault="00B76E73" w:rsidP="00F639B6">
      <w:pPr>
        <w:jc w:val="both"/>
        <w:rPr>
          <w:rFonts w:asciiTheme="majorHAnsi" w:hAnsiTheme="majorHAnsi" w:cs="Arial"/>
        </w:rPr>
      </w:pPr>
    </w:p>
    <w:p w14:paraId="60A44CA1" w14:textId="77777777" w:rsidR="006744E7" w:rsidRPr="004D3DEA" w:rsidRDefault="006744E7" w:rsidP="006F4882">
      <w:pPr>
        <w:jc w:val="both"/>
        <w:outlineLvl w:val="0"/>
        <w:rPr>
          <w:rFonts w:asciiTheme="majorHAnsi" w:hAnsiTheme="majorHAnsi" w:cs="Arial"/>
        </w:rPr>
      </w:pPr>
      <w:r>
        <w:rPr>
          <w:rFonts w:asciiTheme="majorHAnsi" w:hAnsiTheme="majorHAnsi"/>
          <w:b/>
          <w:u w:val="single"/>
        </w:rPr>
        <w:t>CONDITIONS DE TRAVAIL</w:t>
      </w:r>
    </w:p>
    <w:p w14:paraId="1A1C980E" w14:textId="77777777" w:rsidR="006744E7" w:rsidRPr="004D3DEA" w:rsidRDefault="006744E7" w:rsidP="009A0D8A">
      <w:pPr>
        <w:jc w:val="both"/>
        <w:rPr>
          <w:rFonts w:asciiTheme="majorHAnsi" w:hAnsiTheme="majorHAnsi" w:cs="Arial"/>
          <w:b/>
          <w:u w:val="single"/>
        </w:rPr>
      </w:pPr>
    </w:p>
    <w:p w14:paraId="56020336" w14:textId="77777777" w:rsidR="006744E7" w:rsidRPr="004D3DEA" w:rsidRDefault="006744E7" w:rsidP="006F4882">
      <w:pPr>
        <w:pStyle w:val="Heading3"/>
        <w:widowControl/>
        <w:numPr>
          <w:ilvl w:val="0"/>
          <w:numId w:val="0"/>
        </w:numPr>
        <w:rPr>
          <w:rFonts w:asciiTheme="majorHAnsi" w:hAnsiTheme="majorHAnsi" w:cs="Arial"/>
          <w:snapToGrid/>
          <w:szCs w:val="24"/>
        </w:rPr>
      </w:pPr>
      <w:r>
        <w:rPr>
          <w:rFonts w:asciiTheme="majorHAnsi" w:hAnsiTheme="majorHAnsi"/>
          <w:snapToGrid/>
        </w:rPr>
        <w:t>Exigences physiques</w:t>
      </w:r>
    </w:p>
    <w:p w14:paraId="26421C50" w14:textId="77777777" w:rsidR="00B059A9" w:rsidRPr="004D3DEA" w:rsidRDefault="00B059A9" w:rsidP="00B059A9">
      <w:pPr>
        <w:pStyle w:val="Heading3"/>
        <w:rPr>
          <w:rFonts w:asciiTheme="majorHAnsi" w:hAnsiTheme="majorHAnsi" w:cs="Arial"/>
          <w:b w:val="0"/>
          <w:bCs/>
          <w:snapToGrid/>
          <w:szCs w:val="24"/>
          <w:u w:val="none"/>
        </w:rPr>
      </w:pPr>
      <w:r>
        <w:rPr>
          <w:rFonts w:asciiTheme="majorHAnsi" w:hAnsiTheme="majorHAnsi"/>
          <w:b w:val="0"/>
          <w:snapToGrid/>
          <w:u w:val="none"/>
        </w:rPr>
        <w:t>Aucune exigence inhabituelle</w:t>
      </w:r>
    </w:p>
    <w:p w14:paraId="5144FFE7" w14:textId="77777777" w:rsidR="00B059A9" w:rsidRPr="004D3DEA" w:rsidRDefault="00B059A9" w:rsidP="00B059A9">
      <w:pPr>
        <w:pStyle w:val="Heading3"/>
        <w:rPr>
          <w:rFonts w:asciiTheme="majorHAnsi" w:hAnsiTheme="majorHAnsi" w:cs="Arial"/>
          <w:bCs/>
          <w:snapToGrid/>
          <w:szCs w:val="24"/>
        </w:rPr>
      </w:pPr>
    </w:p>
    <w:p w14:paraId="5F1A2EC3" w14:textId="77777777" w:rsidR="00B059A9" w:rsidRPr="004D3DEA" w:rsidRDefault="00B059A9" w:rsidP="00B059A9">
      <w:pPr>
        <w:pStyle w:val="Heading3"/>
        <w:rPr>
          <w:rFonts w:asciiTheme="majorHAnsi" w:hAnsiTheme="majorHAnsi" w:cs="Arial"/>
          <w:bCs/>
          <w:snapToGrid/>
          <w:szCs w:val="24"/>
        </w:rPr>
      </w:pPr>
      <w:r>
        <w:rPr>
          <w:rFonts w:asciiTheme="majorHAnsi" w:hAnsiTheme="majorHAnsi"/>
          <w:snapToGrid/>
        </w:rPr>
        <w:t>Conditions environnementales</w:t>
      </w:r>
    </w:p>
    <w:p w14:paraId="0A80D39F" w14:textId="77777777" w:rsidR="00B059A9" w:rsidRPr="004D3DEA" w:rsidRDefault="00B059A9" w:rsidP="00B059A9">
      <w:pPr>
        <w:pStyle w:val="Heading3"/>
        <w:rPr>
          <w:rFonts w:asciiTheme="majorHAnsi" w:hAnsiTheme="majorHAnsi" w:cs="Arial"/>
          <w:b w:val="0"/>
          <w:bCs/>
          <w:snapToGrid/>
          <w:szCs w:val="24"/>
          <w:u w:val="none"/>
        </w:rPr>
      </w:pPr>
      <w:r>
        <w:rPr>
          <w:rFonts w:asciiTheme="majorHAnsi" w:hAnsiTheme="majorHAnsi"/>
          <w:b w:val="0"/>
          <w:snapToGrid/>
          <w:u w:val="none"/>
        </w:rPr>
        <w:t>Aucune condition inhabituelle</w:t>
      </w:r>
    </w:p>
    <w:p w14:paraId="0B433A01" w14:textId="77777777" w:rsidR="00B059A9" w:rsidRPr="004D3DEA" w:rsidRDefault="00B059A9" w:rsidP="00B059A9">
      <w:pPr>
        <w:pStyle w:val="Heading3"/>
        <w:rPr>
          <w:rFonts w:asciiTheme="majorHAnsi" w:hAnsiTheme="majorHAnsi" w:cs="Arial"/>
          <w:bCs/>
          <w:snapToGrid/>
          <w:szCs w:val="24"/>
        </w:rPr>
      </w:pPr>
    </w:p>
    <w:p w14:paraId="2D14F788" w14:textId="77777777" w:rsidR="00B059A9" w:rsidRPr="004D3DEA" w:rsidRDefault="00B059A9" w:rsidP="00B059A9">
      <w:pPr>
        <w:pStyle w:val="Heading3"/>
        <w:rPr>
          <w:rFonts w:asciiTheme="majorHAnsi" w:hAnsiTheme="majorHAnsi" w:cs="Arial"/>
          <w:bCs/>
          <w:snapToGrid/>
          <w:szCs w:val="24"/>
        </w:rPr>
      </w:pPr>
      <w:r>
        <w:rPr>
          <w:rFonts w:asciiTheme="majorHAnsi" w:hAnsiTheme="majorHAnsi"/>
          <w:snapToGrid/>
        </w:rPr>
        <w:t>Exigences sensorielles</w:t>
      </w:r>
    </w:p>
    <w:p w14:paraId="1868D49B" w14:textId="77777777" w:rsidR="00B059A9" w:rsidRPr="004D3DEA" w:rsidRDefault="00B059A9" w:rsidP="00B059A9">
      <w:pPr>
        <w:pStyle w:val="Heading3"/>
        <w:rPr>
          <w:rFonts w:asciiTheme="majorHAnsi" w:hAnsiTheme="majorHAnsi" w:cs="Arial"/>
          <w:b w:val="0"/>
          <w:bCs/>
          <w:snapToGrid/>
          <w:szCs w:val="24"/>
          <w:u w:val="none"/>
        </w:rPr>
      </w:pPr>
      <w:r>
        <w:rPr>
          <w:rFonts w:asciiTheme="majorHAnsi" w:hAnsiTheme="majorHAnsi"/>
          <w:b w:val="0"/>
          <w:snapToGrid/>
          <w:u w:val="none"/>
        </w:rPr>
        <w:t>Aucune exigence inhabituelle</w:t>
      </w:r>
    </w:p>
    <w:p w14:paraId="08B0FAA1" w14:textId="77777777" w:rsidR="00B059A9" w:rsidRPr="004D3DEA" w:rsidRDefault="00B059A9" w:rsidP="00B059A9">
      <w:pPr>
        <w:pStyle w:val="Heading3"/>
        <w:rPr>
          <w:rFonts w:asciiTheme="majorHAnsi" w:hAnsiTheme="majorHAnsi" w:cs="Arial"/>
          <w:bCs/>
          <w:snapToGrid/>
          <w:szCs w:val="24"/>
        </w:rPr>
      </w:pPr>
    </w:p>
    <w:p w14:paraId="088BAE6F" w14:textId="77777777" w:rsidR="00B059A9" w:rsidRPr="004D3DEA" w:rsidRDefault="00B059A9" w:rsidP="00B059A9">
      <w:pPr>
        <w:pStyle w:val="Heading3"/>
        <w:rPr>
          <w:rFonts w:asciiTheme="majorHAnsi" w:hAnsiTheme="majorHAnsi" w:cs="Arial"/>
          <w:bCs/>
          <w:snapToGrid/>
          <w:szCs w:val="24"/>
        </w:rPr>
      </w:pPr>
      <w:r>
        <w:rPr>
          <w:rFonts w:asciiTheme="majorHAnsi" w:hAnsiTheme="majorHAnsi"/>
          <w:snapToGrid/>
        </w:rPr>
        <w:t>Exigences mentales</w:t>
      </w:r>
    </w:p>
    <w:p w14:paraId="71AF97C9" w14:textId="4C56E01B" w:rsidR="00B059A9" w:rsidRPr="004D3DEA" w:rsidRDefault="00B059A9" w:rsidP="00B059A9">
      <w:pPr>
        <w:pStyle w:val="Heading3"/>
        <w:rPr>
          <w:rFonts w:asciiTheme="majorHAnsi" w:hAnsiTheme="majorHAnsi" w:cs="Arial"/>
          <w:b w:val="0"/>
          <w:bCs/>
          <w:snapToGrid/>
          <w:szCs w:val="24"/>
          <w:u w:val="none"/>
        </w:rPr>
      </w:pPr>
      <w:r>
        <w:rPr>
          <w:rFonts w:asciiTheme="majorHAnsi" w:hAnsiTheme="majorHAnsi"/>
          <w:b w:val="0"/>
          <w:snapToGrid/>
          <w:u w:val="none"/>
        </w:rPr>
        <w:t>L</w:t>
      </w:r>
      <w:r w:rsidR="00B76E73">
        <w:rPr>
          <w:rFonts w:asciiTheme="majorHAnsi" w:hAnsiTheme="majorHAnsi"/>
          <w:b w:val="0"/>
          <w:snapToGrid/>
          <w:u w:val="none"/>
        </w:rPr>
        <w:t>’</w:t>
      </w:r>
      <w:r>
        <w:rPr>
          <w:rFonts w:asciiTheme="majorHAnsi" w:hAnsiTheme="majorHAnsi"/>
          <w:b w:val="0"/>
          <w:snapToGrid/>
          <w:u w:val="none"/>
        </w:rPr>
        <w:t>obligation de composer avec des clients en colère ou inquiets à cause de blessures peut causer du stress.</w:t>
      </w:r>
      <w:r w:rsidR="00B76E73">
        <w:rPr>
          <w:rFonts w:asciiTheme="majorHAnsi" w:hAnsiTheme="majorHAnsi"/>
          <w:b w:val="0"/>
          <w:snapToGrid/>
          <w:u w:val="none"/>
        </w:rPr>
        <w:t xml:space="preserve"> </w:t>
      </w:r>
      <w:r>
        <w:rPr>
          <w:rFonts w:asciiTheme="majorHAnsi" w:hAnsiTheme="majorHAnsi"/>
          <w:b w:val="0"/>
          <w:snapToGrid/>
          <w:u w:val="none"/>
        </w:rPr>
        <w:t>Des situations créent de l</w:t>
      </w:r>
      <w:r w:rsidR="00B76E73">
        <w:rPr>
          <w:rFonts w:asciiTheme="majorHAnsi" w:hAnsiTheme="majorHAnsi"/>
          <w:b w:val="0"/>
          <w:snapToGrid/>
          <w:u w:val="none"/>
        </w:rPr>
        <w:t>’</w:t>
      </w:r>
      <w:r>
        <w:rPr>
          <w:rFonts w:asciiTheme="majorHAnsi" w:hAnsiTheme="majorHAnsi"/>
          <w:b w:val="0"/>
          <w:snapToGrid/>
          <w:u w:val="none"/>
        </w:rPr>
        <w:t>incertitude quant à leur issue. Il arrive que des clients se montrent violents verbalement et profèrent des menaces.</w:t>
      </w:r>
    </w:p>
    <w:p w14:paraId="785EF473" w14:textId="77777777" w:rsidR="00B059A9" w:rsidRPr="004D3DEA" w:rsidRDefault="00B059A9" w:rsidP="00B059A9">
      <w:pPr>
        <w:pStyle w:val="Heading3"/>
        <w:rPr>
          <w:rFonts w:asciiTheme="majorHAnsi" w:hAnsiTheme="majorHAnsi" w:cs="Arial"/>
          <w:b w:val="0"/>
          <w:bCs/>
          <w:snapToGrid/>
          <w:szCs w:val="24"/>
          <w:u w:val="none"/>
        </w:rPr>
      </w:pPr>
    </w:p>
    <w:p w14:paraId="6DD4D87C" w14:textId="77777777" w:rsidR="006744E7" w:rsidRPr="004D3DEA" w:rsidRDefault="00B059A9" w:rsidP="00B059A9">
      <w:pPr>
        <w:pStyle w:val="Heading3"/>
        <w:widowControl/>
        <w:numPr>
          <w:ilvl w:val="0"/>
          <w:numId w:val="0"/>
        </w:numPr>
        <w:rPr>
          <w:rFonts w:asciiTheme="majorHAnsi" w:hAnsiTheme="majorHAnsi" w:cs="Arial"/>
          <w:b w:val="0"/>
          <w:bCs/>
          <w:snapToGrid/>
          <w:szCs w:val="24"/>
          <w:u w:val="none"/>
        </w:rPr>
      </w:pPr>
      <w:r>
        <w:rPr>
          <w:rFonts w:asciiTheme="majorHAnsi" w:hAnsiTheme="majorHAnsi"/>
          <w:b w:val="0"/>
          <w:snapToGrid/>
          <w:u w:val="none"/>
        </w:rPr>
        <w:t>Des priorités et des échéanciers souvent concurrents peuvent entraîner un stress psychologique.</w:t>
      </w:r>
    </w:p>
    <w:p w14:paraId="1981FEDE" w14:textId="77777777" w:rsidR="006744E7" w:rsidRPr="004D3DEA" w:rsidRDefault="006744E7" w:rsidP="006F4882">
      <w:pPr>
        <w:jc w:val="both"/>
        <w:outlineLvl w:val="0"/>
        <w:rPr>
          <w:rFonts w:asciiTheme="majorHAnsi" w:hAnsiTheme="majorHAnsi" w:cs="Arial"/>
          <w:b/>
        </w:rPr>
      </w:pPr>
    </w:p>
    <w:p w14:paraId="4EACA8FD" w14:textId="77777777" w:rsidR="004D3DEA" w:rsidRPr="00C32BD0" w:rsidRDefault="004D3DEA" w:rsidP="004D3DEA">
      <w:pPr>
        <w:pStyle w:val="Heading3"/>
        <w:numPr>
          <w:ilvl w:val="0"/>
          <w:numId w:val="0"/>
        </w:numPr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>EXIGENCES SUPPLÉMENTAIRES</w:t>
      </w:r>
    </w:p>
    <w:p w14:paraId="50DBC0CF" w14:textId="77777777" w:rsidR="004D3DEA" w:rsidRPr="00C32BD0" w:rsidRDefault="004D3DEA" w:rsidP="004D3DEA">
      <w:pPr>
        <w:spacing w:after="120"/>
        <w:jc w:val="both"/>
        <w:outlineLvl w:val="0"/>
        <w:rPr>
          <w:rFonts w:asciiTheme="majorHAnsi" w:hAnsiTheme="majorHAnsi" w:cs="Arial"/>
          <w:bCs/>
        </w:rPr>
      </w:pPr>
      <w:r>
        <w:rPr>
          <w:rFonts w:asciiTheme="majorHAnsi" w:hAnsiTheme="majorHAnsi"/>
          <w:b/>
          <w:bCs/>
        </w:rPr>
        <w:t>Niveau de sécurité</w:t>
      </w:r>
      <w:r>
        <w:rPr>
          <w:rFonts w:asciiTheme="majorHAnsi" w:hAnsiTheme="majorHAnsi"/>
        </w:rPr>
        <w:t xml:space="preserve"> (cocher une seule case)</w:t>
      </w:r>
    </w:p>
    <w:p w14:paraId="1980A94E" w14:textId="77777777" w:rsidR="004D3DEA" w:rsidRPr="00894D3D" w:rsidRDefault="009956C7" w:rsidP="004D3DEA">
      <w:pPr>
        <w:ind w:left="180"/>
        <w:jc w:val="both"/>
        <w:outlineLvl w:val="0"/>
        <w:rPr>
          <w:rFonts w:asciiTheme="majorHAnsi" w:hAnsiTheme="majorHAnsi" w:cs="Arial"/>
          <w:bCs/>
        </w:rPr>
      </w:pPr>
      <w:sdt>
        <w:sdtPr>
          <w:rPr>
            <w:rFonts w:asciiTheme="majorHAnsi" w:hAnsiTheme="majorHAnsi" w:cs="Arial"/>
            <w:bCs/>
          </w:rPr>
          <w:id w:val="-5607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E66AE">
        <w:rPr>
          <w:rFonts w:asciiTheme="majorHAnsi" w:hAnsiTheme="majorHAnsi"/>
        </w:rPr>
        <w:t xml:space="preserve"> Aucune vérification du casier judiciaire exigée</w:t>
      </w:r>
    </w:p>
    <w:p w14:paraId="77EBE295" w14:textId="77777777" w:rsidR="004D3DEA" w:rsidRPr="00756A4D" w:rsidRDefault="009956C7" w:rsidP="004D3DEA">
      <w:pPr>
        <w:ind w:left="180"/>
        <w:jc w:val="both"/>
        <w:outlineLvl w:val="0"/>
        <w:rPr>
          <w:rFonts w:asciiTheme="majorHAnsi" w:hAnsiTheme="majorHAnsi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290600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3DEA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="000E66AE">
        <w:rPr>
          <w:rFonts w:ascii="MS Gothic" w:hAnsi="MS Gothic"/>
        </w:rPr>
        <w:t xml:space="preserve"> </w:t>
      </w:r>
      <w:r w:rsidR="000E66AE">
        <w:rPr>
          <w:rFonts w:asciiTheme="majorHAnsi" w:hAnsiTheme="majorHAnsi"/>
        </w:rPr>
        <w:t>Poste de confiance – vérification du casier judiciaire exigée</w:t>
      </w:r>
    </w:p>
    <w:p w14:paraId="2F6078BF" w14:textId="0702F255" w:rsidR="004D3DEA" w:rsidRPr="00756A4D" w:rsidRDefault="009956C7" w:rsidP="004D3DEA">
      <w:pPr>
        <w:ind w:left="180"/>
        <w:jc w:val="both"/>
        <w:outlineLvl w:val="0"/>
        <w:rPr>
          <w:rFonts w:asciiTheme="majorHAnsi" w:hAnsiTheme="majorHAnsi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46587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E66AE">
        <w:rPr>
          <w:rFonts w:ascii="MS Gothic" w:hAnsi="MS Gothic"/>
        </w:rPr>
        <w:t xml:space="preserve"> </w:t>
      </w:r>
      <w:r w:rsidR="000E66AE">
        <w:rPr>
          <w:rFonts w:asciiTheme="majorHAnsi" w:hAnsiTheme="majorHAnsi"/>
        </w:rPr>
        <w:t>Poste donnant accès à des renseignements de nature très confidentielle ou délicate – vérification de l</w:t>
      </w:r>
      <w:r w:rsidR="00B76E73">
        <w:rPr>
          <w:rFonts w:asciiTheme="majorHAnsi" w:hAnsiTheme="majorHAnsi"/>
        </w:rPr>
        <w:t>’</w:t>
      </w:r>
      <w:r w:rsidR="000E66AE">
        <w:rPr>
          <w:rFonts w:asciiTheme="majorHAnsi" w:hAnsiTheme="majorHAnsi"/>
        </w:rPr>
        <w:t>identité et du casier judiciaire exigée</w:t>
      </w:r>
    </w:p>
    <w:p w14:paraId="230512BA" w14:textId="77777777" w:rsidR="004D3DEA" w:rsidRPr="00C32BD0" w:rsidRDefault="004D3DEA" w:rsidP="004D3DEA">
      <w:pPr>
        <w:pStyle w:val="ListParagraph"/>
        <w:jc w:val="both"/>
        <w:outlineLvl w:val="0"/>
        <w:rPr>
          <w:rFonts w:asciiTheme="majorHAnsi" w:hAnsiTheme="majorHAnsi" w:cs="Arial"/>
          <w:bCs/>
        </w:rPr>
      </w:pPr>
    </w:p>
    <w:p w14:paraId="14AC2D29" w14:textId="77777777" w:rsidR="004D3DEA" w:rsidRPr="00C32BD0" w:rsidRDefault="004D3DEA" w:rsidP="004D3DEA">
      <w:pPr>
        <w:spacing w:after="120"/>
        <w:jc w:val="both"/>
        <w:outlineLvl w:val="0"/>
        <w:rPr>
          <w:rFonts w:asciiTheme="majorHAnsi" w:hAnsiTheme="majorHAnsi" w:cs="Arial"/>
          <w:bCs/>
        </w:rPr>
      </w:pPr>
      <w:r>
        <w:rPr>
          <w:rFonts w:asciiTheme="majorHAnsi" w:hAnsiTheme="majorHAnsi"/>
          <w:b/>
          <w:bCs/>
        </w:rPr>
        <w:t>Langue française</w:t>
      </w:r>
      <w:r>
        <w:rPr>
          <w:rFonts w:asciiTheme="majorHAnsi" w:hAnsiTheme="majorHAnsi"/>
        </w:rPr>
        <w:t xml:space="preserve"> (cocher une seule case)</w:t>
      </w:r>
    </w:p>
    <w:p w14:paraId="2C4D2B3A" w14:textId="77777777" w:rsidR="004D3DEA" w:rsidRPr="00756A4D" w:rsidRDefault="009956C7" w:rsidP="004D3DEA">
      <w:pPr>
        <w:ind w:firstLine="180"/>
        <w:jc w:val="both"/>
        <w:outlineLvl w:val="0"/>
        <w:rPr>
          <w:rFonts w:asciiTheme="majorHAnsi" w:hAnsiTheme="majorHAnsi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34369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E66AE">
        <w:rPr>
          <w:rFonts w:ascii="MS Gothic" w:hAnsi="MS Gothic"/>
        </w:rPr>
        <w:t xml:space="preserve"> </w:t>
      </w:r>
      <w:r w:rsidR="000E66AE">
        <w:rPr>
          <w:rFonts w:asciiTheme="majorHAnsi" w:hAnsiTheme="majorHAnsi"/>
        </w:rPr>
        <w:t>Français requis (indiquer le niveau ci-dessous)</w:t>
      </w:r>
    </w:p>
    <w:p w14:paraId="278025CA" w14:textId="77777777" w:rsidR="004D3DEA" w:rsidRPr="0020724E" w:rsidRDefault="004D3DEA" w:rsidP="004D3DEA">
      <w:pPr>
        <w:ind w:left="36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>Le niveau requis pour le poste désigné est :</w:t>
      </w:r>
    </w:p>
    <w:p w14:paraId="7A36886D" w14:textId="77777777" w:rsidR="004D3DEA" w:rsidRPr="0020724E" w:rsidRDefault="004D3DEA" w:rsidP="004D3DEA">
      <w:pPr>
        <w:ind w:left="72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>EXPRESSION ORALE ET COMPRÉHENSION</w:t>
      </w:r>
    </w:p>
    <w:p w14:paraId="191CB9D5" w14:textId="59908D3E" w:rsidR="004D3DEA" w:rsidRPr="0020724E" w:rsidRDefault="004D3DEA" w:rsidP="004D3DEA">
      <w:pPr>
        <w:ind w:left="108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 xml:space="preserve">De base (B) </w:t>
      </w:r>
      <w:sdt>
        <w:sdtPr>
          <w:rPr>
            <w:rFonts w:ascii="Webdings" w:hAnsi="Webdings"/>
            <w:sz w:val="19"/>
            <w:szCs w:val="19"/>
          </w:rPr>
          <w:id w:val="-32467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  <w:r>
        <w:rPr>
          <w:rFonts w:asciiTheme="majorHAnsi" w:hAnsiTheme="majorHAnsi"/>
          <w:sz w:val="22"/>
        </w:rPr>
        <w:t xml:space="preserve">Intermédiaire (I) </w:t>
      </w:r>
      <w:sdt>
        <w:sdtPr>
          <w:rPr>
            <w:rFonts w:ascii="Arial" w:hAnsi="Arial" w:cs="Arial"/>
            <w:sz w:val="19"/>
            <w:szCs w:val="19"/>
          </w:rPr>
          <w:id w:val="-165059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  <w:r>
        <w:rPr>
          <w:rFonts w:asciiTheme="majorHAnsi" w:hAnsiTheme="majorHAnsi"/>
          <w:sz w:val="22"/>
        </w:rPr>
        <w:t xml:space="preserve">Avancé (A) </w:t>
      </w:r>
      <w:sdt>
        <w:sdtPr>
          <w:rPr>
            <w:rFonts w:ascii="Arial" w:hAnsi="Arial" w:cs="Arial"/>
            <w:sz w:val="19"/>
            <w:szCs w:val="19"/>
          </w:rPr>
          <w:id w:val="-4096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</w:p>
    <w:p w14:paraId="7E11DA25" w14:textId="77777777" w:rsidR="004D3DEA" w:rsidRPr="0020724E" w:rsidRDefault="004D3DEA" w:rsidP="004D3DEA">
      <w:pPr>
        <w:ind w:left="72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>COMPRÉHENSION EN LECTURE</w:t>
      </w:r>
    </w:p>
    <w:p w14:paraId="0DEABF5F" w14:textId="50A01573" w:rsidR="004D3DEA" w:rsidRPr="0020724E" w:rsidRDefault="004D3DEA" w:rsidP="004D3DEA">
      <w:pPr>
        <w:ind w:left="108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 xml:space="preserve">De base (B) </w:t>
      </w:r>
      <w:sdt>
        <w:sdtPr>
          <w:rPr>
            <w:rFonts w:ascii="Webdings" w:hAnsi="Webdings"/>
            <w:sz w:val="19"/>
            <w:szCs w:val="19"/>
          </w:rPr>
          <w:id w:val="-208420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  <w:r>
        <w:rPr>
          <w:rFonts w:asciiTheme="majorHAnsi" w:hAnsiTheme="majorHAnsi"/>
          <w:sz w:val="22"/>
        </w:rPr>
        <w:t xml:space="preserve">Intermédiaire (I) </w:t>
      </w:r>
      <w:sdt>
        <w:sdtPr>
          <w:rPr>
            <w:rFonts w:ascii="Arial" w:hAnsi="Arial" w:cs="Arial"/>
            <w:sz w:val="19"/>
            <w:szCs w:val="19"/>
          </w:rPr>
          <w:id w:val="-196649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  <w:r>
        <w:rPr>
          <w:rFonts w:asciiTheme="majorHAnsi" w:hAnsiTheme="majorHAnsi"/>
          <w:sz w:val="22"/>
        </w:rPr>
        <w:t xml:space="preserve">Avancé (A) </w:t>
      </w:r>
      <w:sdt>
        <w:sdtPr>
          <w:rPr>
            <w:rFonts w:ascii="Arial" w:hAnsi="Arial" w:cs="Arial"/>
            <w:sz w:val="19"/>
            <w:szCs w:val="19"/>
          </w:rPr>
          <w:id w:val="16377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</w:p>
    <w:p w14:paraId="01BC51CB" w14:textId="77777777" w:rsidR="004D3DEA" w:rsidRPr="0020724E" w:rsidRDefault="004D3DEA" w:rsidP="004D3DEA">
      <w:pPr>
        <w:ind w:left="72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>COMPÉTENCE EN RÉDACTION</w:t>
      </w:r>
    </w:p>
    <w:p w14:paraId="309A87A7" w14:textId="306B63AB" w:rsidR="004D3DEA" w:rsidRDefault="004D3DEA" w:rsidP="004D3DEA">
      <w:pPr>
        <w:tabs>
          <w:tab w:val="left" w:pos="4230"/>
        </w:tabs>
        <w:ind w:left="1080" w:firstLine="36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</w:rPr>
        <w:t xml:space="preserve">De base (B) </w:t>
      </w:r>
      <w:sdt>
        <w:sdtPr>
          <w:rPr>
            <w:rFonts w:ascii="Arial" w:hAnsi="Arial" w:cs="Arial"/>
            <w:sz w:val="19"/>
            <w:szCs w:val="19"/>
          </w:rPr>
          <w:id w:val="-75721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  <w:r>
        <w:rPr>
          <w:rFonts w:asciiTheme="majorHAnsi" w:hAnsiTheme="majorHAnsi"/>
          <w:sz w:val="22"/>
        </w:rPr>
        <w:t xml:space="preserve">Intermédiaire (I) </w:t>
      </w:r>
      <w:sdt>
        <w:sdtPr>
          <w:rPr>
            <w:rFonts w:ascii="Arial" w:hAnsi="Arial" w:cs="Arial"/>
            <w:sz w:val="19"/>
            <w:szCs w:val="19"/>
          </w:rPr>
          <w:id w:val="-147228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  <w:r>
        <w:rPr>
          <w:rFonts w:asciiTheme="majorHAnsi" w:hAnsiTheme="majorHAnsi"/>
          <w:sz w:val="22"/>
        </w:rPr>
        <w:t xml:space="preserve">Avancé (A) </w:t>
      </w:r>
      <w:sdt>
        <w:sdtPr>
          <w:rPr>
            <w:rFonts w:ascii="Arial" w:hAnsi="Arial" w:cs="Arial"/>
            <w:sz w:val="19"/>
            <w:szCs w:val="19"/>
          </w:rPr>
          <w:id w:val="131491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76E73">
        <w:rPr>
          <w:rFonts w:ascii="Arial" w:hAnsi="Arial"/>
          <w:sz w:val="19"/>
        </w:rPr>
        <w:t xml:space="preserve"> </w:t>
      </w:r>
    </w:p>
    <w:p w14:paraId="3352E045" w14:textId="77777777" w:rsidR="004D3DEA" w:rsidRPr="00756A4D" w:rsidRDefault="009956C7" w:rsidP="004D3DEA">
      <w:pPr>
        <w:ind w:firstLine="180"/>
        <w:jc w:val="both"/>
        <w:outlineLvl w:val="0"/>
        <w:rPr>
          <w:rFonts w:asciiTheme="majorHAnsi" w:eastAsia="Calibri" w:hAnsiTheme="majorHAnsi"/>
          <w:bCs/>
          <w:sz w:val="22"/>
          <w:szCs w:val="22"/>
        </w:rPr>
      </w:pPr>
      <w:sdt>
        <w:sdtPr>
          <w:rPr>
            <w:rFonts w:ascii="MS Gothic" w:eastAsia="MS Gothic" w:hAnsi="MS Gothic" w:cs="Arial"/>
            <w:bCs/>
          </w:rPr>
          <w:id w:val="127798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E66AE">
        <w:rPr>
          <w:rFonts w:ascii="MS Gothic" w:hAnsi="MS Gothic"/>
        </w:rPr>
        <w:t xml:space="preserve"> </w:t>
      </w:r>
      <w:r w:rsidR="000E66AE">
        <w:rPr>
          <w:rFonts w:asciiTheme="majorHAnsi" w:hAnsiTheme="majorHAnsi"/>
        </w:rPr>
        <w:t>Français de préférence</w:t>
      </w:r>
    </w:p>
    <w:p w14:paraId="0D72964E" w14:textId="77777777" w:rsidR="004D3DEA" w:rsidRDefault="004D3DEA" w:rsidP="004D3DEA">
      <w:pPr>
        <w:spacing w:after="120"/>
        <w:jc w:val="both"/>
        <w:outlineLvl w:val="0"/>
        <w:rPr>
          <w:rFonts w:asciiTheme="majorHAnsi" w:hAnsiTheme="majorHAnsi" w:cs="Arial"/>
          <w:b/>
        </w:rPr>
      </w:pPr>
    </w:p>
    <w:p w14:paraId="7FFCDCA3" w14:textId="77777777" w:rsidR="004D3DEA" w:rsidRPr="00C32BD0" w:rsidRDefault="004D3DEA" w:rsidP="004D3DEA">
      <w:pPr>
        <w:spacing w:after="120"/>
        <w:jc w:val="both"/>
        <w:outlineLvl w:val="0"/>
        <w:rPr>
          <w:rFonts w:asciiTheme="majorHAnsi" w:hAnsiTheme="majorHAnsi" w:cs="Arial"/>
          <w:bCs/>
        </w:rPr>
      </w:pPr>
      <w:r>
        <w:rPr>
          <w:b/>
          <w:bCs/>
        </w:rPr>
        <w:t>Langue autochtone </w:t>
      </w:r>
      <w:r>
        <w:rPr>
          <w:rFonts w:asciiTheme="majorHAnsi" w:hAnsiTheme="majorHAnsi"/>
          <w:b/>
          <w:bCs/>
        </w:rPr>
        <w:t>:</w:t>
      </w:r>
      <w:r>
        <w:rPr>
          <w:rFonts w:asciiTheme="majorHAnsi" w:hAnsiTheme="majorHAnsi"/>
          <w:b/>
        </w:rPr>
        <w:t xml:space="preserve"> </w:t>
      </w:r>
      <w:sdt>
        <w:sdtPr>
          <w:rPr>
            <w:rStyle w:val="Style1"/>
          </w:rPr>
          <w:id w:val="10230264"/>
          <w:dropDownList>
            <w:listItem w:displayText="Choisir une langue" w:value="Choose a language"/>
            <w:listItem w:displayText="Langue autochtone – non précisée" w:value="Aboriginal Language - not specified"/>
            <w:listItem w:displayText="Chipewyan" w:value="Chipewyan"/>
            <w:listItem w:displayText="Cri" w:value="Cree"/>
            <w:listItem w:displayText="Inuinnaqtun" w:value="Inuinnaqtun"/>
            <w:listItem w:displayText="Inuktitut" w:value="Inuktitut"/>
            <w:listItem w:displayText="Inuvialuktun" w:value="Inuvialuktun"/>
            <w:listItem w:displayText="Gwich’in" w:value="Gwich'in"/>
            <w:listItem w:displayText="Esclave du Nord" w:value="North Slavey"/>
            <w:listItem w:displayText="Esclave du Sud" w:value="South Slavey"/>
            <w:listItem w:displayText="Tlicho" w:value="Tlicho"/>
          </w:dropDownList>
        </w:sdtPr>
        <w:sdtEndPr>
          <w:rPr>
            <w:rStyle w:val="Style1"/>
          </w:rPr>
        </w:sdtEndPr>
        <w:sdtContent>
          <w:r>
            <w:rPr>
              <w:rStyle w:val="Style1"/>
            </w:rPr>
            <w:t>Pour choisir une langue, cliquer ici.</w:t>
          </w:r>
        </w:sdtContent>
      </w:sdt>
    </w:p>
    <w:p w14:paraId="22A96329" w14:textId="77777777" w:rsidR="004D3DEA" w:rsidRPr="00756A4D" w:rsidRDefault="009956C7" w:rsidP="004D3DEA">
      <w:pPr>
        <w:ind w:firstLine="180"/>
        <w:jc w:val="both"/>
        <w:outlineLvl w:val="0"/>
        <w:rPr>
          <w:rFonts w:asciiTheme="majorHAnsi" w:hAnsiTheme="majorHAnsi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27121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E66AE">
        <w:rPr>
          <w:rFonts w:ascii="MS Gothic" w:hAnsi="MS Gothic"/>
        </w:rPr>
        <w:t xml:space="preserve"> </w:t>
      </w:r>
      <w:r w:rsidR="000E66AE">
        <w:rPr>
          <w:rFonts w:asciiTheme="majorHAnsi" w:hAnsiTheme="majorHAnsi"/>
        </w:rPr>
        <w:t>Requis</w:t>
      </w:r>
    </w:p>
    <w:p w14:paraId="574DDECE" w14:textId="77777777" w:rsidR="004D3DEA" w:rsidRPr="00756A4D" w:rsidRDefault="009956C7" w:rsidP="004D3DEA">
      <w:pPr>
        <w:pStyle w:val="ListParagraph"/>
        <w:tabs>
          <w:tab w:val="left" w:pos="360"/>
          <w:tab w:val="left" w:pos="4410"/>
        </w:tabs>
        <w:ind w:left="450" w:hanging="270"/>
        <w:jc w:val="both"/>
        <w:outlineLvl w:val="0"/>
        <w:rPr>
          <w:rFonts w:asciiTheme="majorHAnsi" w:hAnsiTheme="majorHAnsi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91007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EA" w:rsidRPr="00756A4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E66AE">
        <w:rPr>
          <w:rFonts w:ascii="MS Gothic" w:hAnsi="MS Gothic"/>
        </w:rPr>
        <w:t xml:space="preserve"> </w:t>
      </w:r>
      <w:r w:rsidR="000E66AE">
        <w:rPr>
          <w:rFonts w:asciiTheme="majorHAnsi" w:hAnsiTheme="majorHAnsi"/>
        </w:rPr>
        <w:t>De préférence</w:t>
      </w:r>
      <w:r w:rsidR="000E66AE">
        <w:rPr>
          <w:rFonts w:asciiTheme="majorHAnsi" w:hAnsiTheme="majorHAnsi"/>
        </w:rPr>
        <w:br w:type="page"/>
      </w:r>
    </w:p>
    <w:p w14:paraId="6169668A" w14:textId="77777777" w:rsidR="006744E7" w:rsidRPr="004D3DEA" w:rsidRDefault="006744E7" w:rsidP="006F4882">
      <w:pPr>
        <w:pStyle w:val="Heading3"/>
        <w:numPr>
          <w:ilvl w:val="0"/>
          <w:numId w:val="0"/>
        </w:numPr>
        <w:ind w:left="-450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</w:rPr>
        <w:t>ATTESTATION</w:t>
      </w:r>
    </w:p>
    <w:p w14:paraId="238FB6F1" w14:textId="77777777" w:rsidR="006744E7" w:rsidRPr="004D3DEA" w:rsidRDefault="006744E7" w:rsidP="006F4882">
      <w:pPr>
        <w:pStyle w:val="Heading3"/>
        <w:numPr>
          <w:ilvl w:val="0"/>
          <w:numId w:val="0"/>
        </w:numPr>
        <w:rPr>
          <w:rFonts w:asciiTheme="majorHAnsi" w:hAnsiTheme="majorHAnsi" w:cs="Arial"/>
          <w:szCs w:val="24"/>
        </w:rPr>
      </w:pPr>
    </w:p>
    <w:p w14:paraId="5B6A0A39" w14:textId="13CDACBE" w:rsidR="006744E7" w:rsidRPr="004D3DEA" w:rsidRDefault="006744E7" w:rsidP="006F4882">
      <w:pPr>
        <w:pStyle w:val="Heading3"/>
        <w:numPr>
          <w:ilvl w:val="0"/>
          <w:numId w:val="0"/>
        </w:numPr>
        <w:tabs>
          <w:tab w:val="left" w:pos="4410"/>
          <w:tab w:val="left" w:pos="4770"/>
        </w:tabs>
        <w:ind w:hanging="540"/>
        <w:rPr>
          <w:rFonts w:asciiTheme="majorHAnsi" w:hAnsiTheme="majorHAnsi" w:cs="Arial"/>
          <w:b w:val="0"/>
          <w:bCs/>
          <w:szCs w:val="24"/>
          <w:u w:val="none"/>
        </w:rPr>
      </w:pPr>
      <w:r>
        <w:rPr>
          <w:rFonts w:asciiTheme="majorHAnsi" w:hAnsiTheme="majorHAnsi"/>
          <w:u w:val="none"/>
        </w:rPr>
        <w:t xml:space="preserve"> Titre :</w:t>
      </w:r>
      <w:r w:rsidR="00B76E73">
        <w:rPr>
          <w:rFonts w:asciiTheme="majorHAnsi" w:hAnsiTheme="majorHAnsi"/>
          <w:b w:val="0"/>
          <w:u w:val="none"/>
        </w:rPr>
        <w:t xml:space="preserve"> </w:t>
      </w:r>
      <w:r>
        <w:rPr>
          <w:rFonts w:asciiTheme="majorHAnsi" w:hAnsiTheme="majorHAnsi"/>
          <w:b w:val="0"/>
          <w:u w:val="none"/>
        </w:rPr>
        <w:t>Superviseur</w:t>
      </w:r>
      <w:r w:rsidR="00B76E73">
        <w:rPr>
          <w:rFonts w:asciiTheme="majorHAnsi" w:hAnsiTheme="majorHAnsi"/>
          <w:b w:val="0"/>
          <w:u w:val="none"/>
        </w:rPr>
        <w:t xml:space="preserve"> ou superviseure</w:t>
      </w:r>
      <w:r>
        <w:rPr>
          <w:rFonts w:asciiTheme="majorHAnsi" w:hAnsiTheme="majorHAnsi"/>
          <w:b w:val="0"/>
          <w:u w:val="none"/>
        </w:rPr>
        <w:t>, Gestion de cas</w:t>
      </w:r>
    </w:p>
    <w:p w14:paraId="0E172246" w14:textId="41E7309E" w:rsidR="006744E7" w:rsidRPr="004D3DEA" w:rsidRDefault="006744E7" w:rsidP="006F4882">
      <w:pPr>
        <w:pStyle w:val="Heading5"/>
        <w:numPr>
          <w:ilvl w:val="0"/>
          <w:numId w:val="0"/>
        </w:numPr>
        <w:ind w:hanging="450"/>
        <w:rPr>
          <w:rFonts w:asciiTheme="majorHAnsi" w:hAnsiTheme="majorHAnsi" w:cs="Arial"/>
          <w:b w:val="0"/>
          <w:bCs/>
          <w:szCs w:val="24"/>
        </w:rPr>
      </w:pPr>
      <w:r>
        <w:rPr>
          <w:rFonts w:asciiTheme="majorHAnsi" w:hAnsiTheme="majorHAnsi"/>
        </w:rPr>
        <w:t>Numéro(s) de poste :</w:t>
      </w:r>
      <w:r w:rsidR="00B76E73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>97-9835</w:t>
      </w:r>
    </w:p>
    <w:p w14:paraId="288A8AAF" w14:textId="77777777" w:rsidR="006744E7" w:rsidRPr="004D3DEA" w:rsidRDefault="006744E7">
      <w:pPr>
        <w:rPr>
          <w:rFonts w:asciiTheme="majorHAnsi" w:hAnsiTheme="majorHAnsi"/>
        </w:rPr>
      </w:pPr>
    </w:p>
    <w:tbl>
      <w:tblPr>
        <w:tblW w:w="9983" w:type="dxa"/>
        <w:tblInd w:w="-3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852"/>
      </w:tblGrid>
      <w:tr w:rsidR="006744E7" w:rsidRPr="004D3DEA" w14:paraId="534493FE" w14:textId="77777777" w:rsidTr="00B76E73">
        <w:trPr>
          <w:trHeight w:val="4710"/>
        </w:trPr>
        <w:tc>
          <w:tcPr>
            <w:tcW w:w="5131" w:type="dxa"/>
          </w:tcPr>
          <w:p w14:paraId="65F71857" w14:textId="77777777" w:rsidR="006744E7" w:rsidRPr="004D3DEA" w:rsidRDefault="006744E7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536DA75B" w14:textId="77777777" w:rsidR="006744E7" w:rsidRPr="004D3DEA" w:rsidRDefault="006744E7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30BA4186" w14:textId="77777777" w:rsidR="006744E7" w:rsidRPr="004D3DEA" w:rsidRDefault="006744E7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747087FF" w14:textId="3C585144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  <w:r w:rsidR="00B76E73">
              <w:rPr>
                <w:rFonts w:asciiTheme="majorHAnsi" w:hAnsiTheme="majorHAnsi"/>
              </w:rPr>
              <w:t>_____</w:t>
            </w:r>
          </w:p>
          <w:p w14:paraId="1C1E2512" w14:textId="4AB0C336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Signature de l</w:t>
            </w:r>
            <w:r w:rsidR="00B76E73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employé</w:t>
            </w:r>
            <w:r w:rsidR="00B76E73">
              <w:rPr>
                <w:rFonts w:asciiTheme="majorHAnsi" w:hAnsiTheme="majorHAnsi"/>
              </w:rPr>
              <w:t>(e)</w:t>
            </w:r>
          </w:p>
          <w:p w14:paraId="4B80D883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28FF038A" w14:textId="482CB8D6" w:rsidR="006744E7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76BBBBC9" w14:textId="77777777" w:rsidR="00B76E73" w:rsidRPr="004D3DEA" w:rsidRDefault="00B76E73">
            <w:pPr>
              <w:jc w:val="both"/>
              <w:rPr>
                <w:rFonts w:asciiTheme="majorHAnsi" w:hAnsiTheme="majorHAnsi" w:cs="Arial"/>
              </w:rPr>
            </w:pPr>
          </w:p>
          <w:p w14:paraId="5A3798D4" w14:textId="434A8F9E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___________________________________</w:t>
            </w:r>
            <w:r w:rsidR="00B76E73">
              <w:rPr>
                <w:rFonts w:asciiTheme="majorHAnsi" w:hAnsiTheme="majorHAnsi"/>
              </w:rPr>
              <w:t>____</w:t>
            </w:r>
          </w:p>
          <w:p w14:paraId="21EED2BC" w14:textId="01717F18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Nom en caractères d</w:t>
            </w:r>
            <w:r w:rsidR="00B76E73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imprimerie</w:t>
            </w:r>
          </w:p>
          <w:p w14:paraId="62174857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323F2DD6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3CCE4ABA" w14:textId="09CF8A80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___________________________________</w:t>
            </w:r>
            <w:r w:rsidR="00B76E73">
              <w:rPr>
                <w:rFonts w:asciiTheme="majorHAnsi" w:hAnsiTheme="majorHAnsi"/>
              </w:rPr>
              <w:t>____</w:t>
            </w:r>
          </w:p>
          <w:p w14:paraId="51158F32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Date</w:t>
            </w:r>
          </w:p>
          <w:p w14:paraId="432351E6" w14:textId="77777777" w:rsidR="006744E7" w:rsidRPr="004D3DEA" w:rsidRDefault="006744E7">
            <w:pPr>
              <w:rPr>
                <w:rFonts w:asciiTheme="majorHAnsi" w:hAnsiTheme="majorHAnsi" w:cs="Arial"/>
              </w:rPr>
            </w:pPr>
          </w:p>
          <w:p w14:paraId="3D09AB23" w14:textId="08A648A9" w:rsidR="006744E7" w:rsidRPr="004D3DEA" w:rsidRDefault="006744E7">
            <w:pPr>
              <w:rPr>
                <w:rFonts w:asciiTheme="majorHAnsi" w:hAnsiTheme="majorHAnsi" w:cs="Arial"/>
                <w:i/>
                <w:iCs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J</w:t>
            </w:r>
            <w:r w:rsidR="00B76E73">
              <w:rPr>
                <w:rFonts w:asciiTheme="majorHAnsi" w:hAnsiTheme="majorHAnsi"/>
                <w:i/>
                <w:sz w:val="20"/>
              </w:rPr>
              <w:t>’</w:t>
            </w:r>
            <w:r>
              <w:rPr>
                <w:rFonts w:asciiTheme="majorHAnsi" w:hAnsiTheme="majorHAnsi"/>
                <w:i/>
                <w:sz w:val="20"/>
              </w:rPr>
              <w:t>atteste avoir lu et compris les responsabilités associées à ce poste.</w:t>
            </w:r>
          </w:p>
          <w:p w14:paraId="36F73B9A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45B64D46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51" w:type="dxa"/>
          </w:tcPr>
          <w:p w14:paraId="7DBF5775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308B2C53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663039B3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63228827" w14:textId="797408A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</w:t>
            </w:r>
            <w:r w:rsidR="00B76E73">
              <w:rPr>
                <w:rFonts w:asciiTheme="majorHAnsi" w:hAnsiTheme="majorHAnsi"/>
              </w:rPr>
              <w:t>______</w:t>
            </w:r>
          </w:p>
          <w:p w14:paraId="3ECE313C" w14:textId="0DF341B7" w:rsidR="006744E7" w:rsidRPr="004D3DEA" w:rsidRDefault="006744E7" w:rsidP="00B76E7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Signature du superviseur</w:t>
            </w:r>
            <w:r w:rsidR="00B76E73">
              <w:rPr>
                <w:rFonts w:asciiTheme="majorHAnsi" w:hAnsiTheme="majorHAnsi"/>
              </w:rPr>
              <w:br/>
              <w:t>ou de la superviseure</w:t>
            </w:r>
          </w:p>
          <w:p w14:paraId="0743A850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499CAC8D" w14:textId="77777777" w:rsidR="005B0268" w:rsidRDefault="005B0268">
            <w:pPr>
              <w:jc w:val="both"/>
              <w:rPr>
                <w:rFonts w:asciiTheme="majorHAnsi" w:hAnsiTheme="majorHAnsi" w:cs="Arial"/>
              </w:rPr>
            </w:pPr>
          </w:p>
          <w:p w14:paraId="1A946C80" w14:textId="384ED079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</w:t>
            </w:r>
            <w:r w:rsidR="00B76E73">
              <w:rPr>
                <w:rFonts w:asciiTheme="majorHAnsi" w:hAnsiTheme="majorHAnsi"/>
              </w:rPr>
              <w:t>______</w:t>
            </w:r>
          </w:p>
          <w:p w14:paraId="4B1324B8" w14:textId="6350EA68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Nom en caractères d</w:t>
            </w:r>
            <w:r w:rsidR="00B76E73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imprimerie</w:t>
            </w:r>
          </w:p>
          <w:p w14:paraId="387485DB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693FE252" w14:textId="77777777" w:rsidR="005B0268" w:rsidRDefault="005B0268">
            <w:pPr>
              <w:jc w:val="both"/>
              <w:rPr>
                <w:rFonts w:asciiTheme="majorHAnsi" w:hAnsiTheme="majorHAnsi" w:cs="Arial"/>
              </w:rPr>
            </w:pPr>
          </w:p>
          <w:p w14:paraId="52DA53BB" w14:textId="731B2D99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</w:t>
            </w:r>
            <w:r w:rsidR="00B76E73">
              <w:rPr>
                <w:rFonts w:asciiTheme="majorHAnsi" w:hAnsiTheme="majorHAnsi"/>
              </w:rPr>
              <w:t>______</w:t>
            </w:r>
          </w:p>
          <w:p w14:paraId="1CCB1503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Date</w:t>
            </w:r>
          </w:p>
          <w:p w14:paraId="35F1D308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1939A390" w14:textId="7AE92AAC" w:rsidR="006744E7" w:rsidRPr="004D3DEA" w:rsidRDefault="006744E7">
            <w:pPr>
              <w:pStyle w:val="CommentText"/>
              <w:widowControl/>
              <w:rPr>
                <w:rFonts w:asciiTheme="majorHAnsi" w:hAnsiTheme="majorHAnsi" w:cs="Arial"/>
                <w:i/>
                <w:iCs/>
                <w:snapToGrid/>
                <w:szCs w:val="24"/>
              </w:rPr>
            </w:pPr>
            <w:r>
              <w:rPr>
                <w:rFonts w:asciiTheme="majorHAnsi" w:hAnsiTheme="majorHAnsi"/>
                <w:i/>
                <w:snapToGrid/>
              </w:rPr>
              <w:t>J</w:t>
            </w:r>
            <w:r w:rsidR="00B76E73">
              <w:rPr>
                <w:rFonts w:asciiTheme="majorHAnsi" w:hAnsiTheme="majorHAnsi"/>
                <w:i/>
                <w:snapToGrid/>
              </w:rPr>
              <w:t>’</w:t>
            </w:r>
            <w:r>
              <w:rPr>
                <w:rFonts w:asciiTheme="majorHAnsi" w:hAnsiTheme="majorHAnsi"/>
                <w:i/>
                <w:snapToGrid/>
              </w:rPr>
              <w:t>atteste que cette description de poste reflète avec justesse les responsabilités qui sont associées au poste.</w:t>
            </w:r>
          </w:p>
        </w:tc>
      </w:tr>
      <w:tr w:rsidR="006744E7" w:rsidRPr="004D3DEA" w14:paraId="15DB84A3" w14:textId="77777777" w:rsidTr="00B76E73">
        <w:trPr>
          <w:trHeight w:val="2261"/>
        </w:trPr>
        <w:tc>
          <w:tcPr>
            <w:tcW w:w="9983" w:type="dxa"/>
            <w:gridSpan w:val="2"/>
          </w:tcPr>
          <w:p w14:paraId="08EE5876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3AC44A89" w14:textId="147879B9" w:rsidR="00502831" w:rsidRPr="004D3DEA" w:rsidRDefault="00ED6E29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691C7350" wp14:editId="0F16A195">
                  <wp:extent cx="2107565" cy="513715"/>
                  <wp:effectExtent l="0" t="0" r="6985" b="63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6E73">
              <w:rPr>
                <w:rFonts w:asciiTheme="majorHAnsi" w:hAnsiTheme="majorHAnsi"/>
              </w:rPr>
              <w:t xml:space="preserve">                  </w:t>
            </w:r>
            <w:r>
              <w:rPr>
                <w:rFonts w:asciiTheme="majorHAnsi" w:hAnsiTheme="majorHAnsi"/>
              </w:rPr>
              <w:t>29 janvier 2021</w:t>
            </w:r>
            <w:r w:rsidR="00B76E73">
              <w:rPr>
                <w:rFonts w:asciiTheme="majorHAnsi" w:hAnsiTheme="majorHAnsi"/>
              </w:rPr>
              <w:t xml:space="preserve"> </w:t>
            </w:r>
          </w:p>
          <w:p w14:paraId="176C2EEE" w14:textId="25237BD9" w:rsidR="00502831" w:rsidRPr="004D3DEA" w:rsidRDefault="00502831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____________________________________</w:t>
            </w:r>
            <w:r w:rsidR="00B76E73">
              <w:rPr>
                <w:rFonts w:asciiTheme="majorHAnsi" w:hAnsiTheme="majorHAnsi"/>
              </w:rPr>
              <w:t xml:space="preserve">                     </w:t>
            </w:r>
            <w:r>
              <w:rPr>
                <w:rFonts w:asciiTheme="majorHAnsi" w:hAnsiTheme="majorHAnsi"/>
              </w:rPr>
              <w:t>_____________________________</w:t>
            </w:r>
          </w:p>
          <w:p w14:paraId="2C512D0A" w14:textId="4F42A77E" w:rsidR="006744E7" w:rsidRPr="004D3DEA" w:rsidRDefault="00502831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Gestionnaire principal</w:t>
            </w:r>
            <w:r w:rsidR="00B76E73">
              <w:rPr>
                <w:rFonts w:asciiTheme="majorHAnsi" w:hAnsiTheme="majorHAnsi"/>
              </w:rPr>
              <w:t xml:space="preserve">                                      </w:t>
            </w:r>
            <w:r>
              <w:rPr>
                <w:rFonts w:asciiTheme="majorHAnsi" w:hAnsiTheme="majorHAnsi"/>
              </w:rPr>
              <w:t>Date</w:t>
            </w:r>
          </w:p>
          <w:p w14:paraId="4139A489" w14:textId="77777777" w:rsidR="00420EFC" w:rsidRPr="004D3DEA" w:rsidRDefault="00420EFC">
            <w:pPr>
              <w:jc w:val="both"/>
              <w:rPr>
                <w:rFonts w:asciiTheme="majorHAnsi" w:hAnsiTheme="majorHAnsi" w:cs="Arial"/>
              </w:rPr>
            </w:pPr>
          </w:p>
          <w:p w14:paraId="5B69F5AF" w14:textId="77777777" w:rsidR="00420EFC" w:rsidRPr="004D3DEA" w:rsidRDefault="00420EFC">
            <w:pPr>
              <w:jc w:val="both"/>
              <w:rPr>
                <w:rFonts w:asciiTheme="majorHAnsi" w:hAnsiTheme="majorHAnsi" w:cs="Arial"/>
              </w:rPr>
            </w:pPr>
          </w:p>
          <w:p w14:paraId="0B031338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1004FA41" w14:textId="60661C65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 xml:space="preserve">_________________________________ </w:t>
            </w:r>
            <w:r w:rsidR="00B76E73">
              <w:rPr>
                <w:rFonts w:asciiTheme="majorHAnsi" w:hAnsiTheme="majorHAnsi"/>
              </w:rPr>
              <w:t xml:space="preserve">                         </w:t>
            </w:r>
            <w:r>
              <w:rPr>
                <w:rFonts w:asciiTheme="majorHAnsi" w:hAnsiTheme="majorHAnsi"/>
              </w:rPr>
              <w:t>_____ ________________________</w:t>
            </w:r>
          </w:p>
          <w:p w14:paraId="2A0137DA" w14:textId="62E573C9" w:rsidR="006744E7" w:rsidRPr="004D3DEA" w:rsidRDefault="00502831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Présidente-directrice générale</w:t>
            </w:r>
            <w:r w:rsidR="00B76E73">
              <w:rPr>
                <w:rFonts w:asciiTheme="majorHAnsi" w:hAnsiTheme="majorHAnsi"/>
              </w:rPr>
              <w:t xml:space="preserve">                      </w:t>
            </w:r>
            <w:r>
              <w:rPr>
                <w:rFonts w:asciiTheme="majorHAnsi" w:hAnsiTheme="majorHAnsi"/>
              </w:rPr>
              <w:t>Date</w:t>
            </w:r>
          </w:p>
          <w:p w14:paraId="0BC86E6E" w14:textId="77777777" w:rsidR="006744E7" w:rsidRPr="004D3DEA" w:rsidRDefault="006744E7">
            <w:pPr>
              <w:jc w:val="both"/>
              <w:rPr>
                <w:rFonts w:asciiTheme="majorHAnsi" w:hAnsiTheme="majorHAnsi" w:cs="Arial"/>
              </w:rPr>
            </w:pPr>
          </w:p>
          <w:p w14:paraId="23412956" w14:textId="7EFF017A" w:rsidR="006744E7" w:rsidRPr="004D3DEA" w:rsidRDefault="006744E7">
            <w:pPr>
              <w:rPr>
                <w:rFonts w:asciiTheme="majorHAnsi" w:hAnsiTheme="majorHAnsi" w:cs="Arial"/>
                <w:i/>
                <w:iCs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J</w:t>
            </w:r>
            <w:r w:rsidR="00B76E73">
              <w:rPr>
                <w:rFonts w:asciiTheme="majorHAnsi" w:hAnsiTheme="majorHAnsi"/>
                <w:i/>
                <w:sz w:val="20"/>
              </w:rPr>
              <w:t>’</w:t>
            </w:r>
            <w:r>
              <w:rPr>
                <w:rFonts w:asciiTheme="majorHAnsi" w:hAnsiTheme="majorHAnsi"/>
                <w:i/>
                <w:sz w:val="20"/>
              </w:rPr>
              <w:t>autorise la délégation des responsabilités précitées dans le cadre de la structure organisationnelle présentée dans l</w:t>
            </w:r>
            <w:r w:rsidR="00B76E73">
              <w:rPr>
                <w:rFonts w:asciiTheme="majorHAnsi" w:hAnsiTheme="majorHAnsi"/>
                <w:i/>
                <w:sz w:val="20"/>
              </w:rPr>
              <w:t>’</w:t>
            </w:r>
            <w:r>
              <w:rPr>
                <w:rFonts w:asciiTheme="majorHAnsi" w:hAnsiTheme="majorHAnsi"/>
                <w:i/>
                <w:sz w:val="20"/>
              </w:rPr>
              <w:t>organigramme ci-joint.</w:t>
            </w:r>
          </w:p>
        </w:tc>
      </w:tr>
      <w:tr w:rsidR="00502831" w:rsidRPr="004D3DEA" w14:paraId="4004EFAC" w14:textId="77777777" w:rsidTr="00B76E73">
        <w:trPr>
          <w:trHeight w:val="1686"/>
        </w:trPr>
        <w:tc>
          <w:tcPr>
            <w:tcW w:w="9983" w:type="dxa"/>
            <w:gridSpan w:val="2"/>
          </w:tcPr>
          <w:p w14:paraId="3F01B837" w14:textId="013ABC4E" w:rsidR="00502831" w:rsidRPr="004D3DEA" w:rsidRDefault="006C1CE3" w:rsidP="00B76E7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b/>
              </w:rPr>
              <w:t>Les énoncés ci-dessus visent à décrire la nature et le niveau général du travail devant être exécuté par le titulaire de ce poste.</w:t>
            </w:r>
            <w:r w:rsidR="00B76E73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Il ne s</w:t>
            </w:r>
            <w:r w:rsidR="00B76E73">
              <w:rPr>
                <w:rFonts w:asciiTheme="majorHAnsi" w:hAnsiTheme="majorHAnsi"/>
                <w:b/>
              </w:rPr>
              <w:t>’</w:t>
            </w:r>
            <w:r>
              <w:rPr>
                <w:rFonts w:asciiTheme="majorHAnsi" w:hAnsiTheme="majorHAnsi"/>
                <w:b/>
              </w:rPr>
              <w:t>agit pas d</w:t>
            </w:r>
            <w:r w:rsidR="00B76E73">
              <w:rPr>
                <w:rFonts w:asciiTheme="majorHAnsi" w:hAnsiTheme="majorHAnsi"/>
                <w:b/>
              </w:rPr>
              <w:t>’</w:t>
            </w:r>
            <w:r>
              <w:rPr>
                <w:rFonts w:asciiTheme="majorHAnsi" w:hAnsiTheme="majorHAnsi"/>
                <w:b/>
              </w:rPr>
              <w:t>une liste exhaustive des responsabilités et des activités rattachées au poste.</w:t>
            </w:r>
          </w:p>
        </w:tc>
      </w:tr>
    </w:tbl>
    <w:p w14:paraId="186B5D39" w14:textId="528F1265" w:rsidR="006744E7" w:rsidRPr="004D3DEA" w:rsidRDefault="00622C1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Révisé par</w:t>
      </w:r>
      <w:r w:rsidR="00B76E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les RH : _____________________</w:t>
      </w:r>
    </w:p>
    <w:sectPr w:rsidR="006744E7" w:rsidRPr="004D3DEA" w:rsidSect="00B76E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96" w:bottom="170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8E77E" w14:textId="77777777" w:rsidR="00611F6B" w:rsidRDefault="00611F6B">
      <w:r>
        <w:separator/>
      </w:r>
    </w:p>
  </w:endnote>
  <w:endnote w:type="continuationSeparator" w:id="0">
    <w:p w14:paraId="18CBC7E0" w14:textId="77777777" w:rsidR="00611F6B" w:rsidRDefault="0061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7145D" w14:textId="77777777" w:rsidR="00073CDE" w:rsidRDefault="00073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971F3" w14:textId="28588A79" w:rsidR="00420EFC" w:rsidRDefault="005B0268" w:rsidP="00BF7ED6">
    <w:pPr>
      <w:pStyle w:val="Footer"/>
      <w:rPr>
        <w:rFonts w:ascii="Arial" w:hAnsi="Arial" w:cs="Arial"/>
        <w:sz w:val="20"/>
      </w:rPr>
    </w:pPr>
    <w:r>
      <w:rPr>
        <w:rFonts w:ascii="Arial" w:hAnsi="Arial"/>
        <w:sz w:val="20"/>
      </w:rPr>
      <w:t>29 janvier 2021</w:t>
    </w:r>
    <w:r>
      <w:rPr>
        <w:rFonts w:ascii="Arial" w:hAnsi="Arial"/>
        <w:sz w:val="20"/>
      </w:rPr>
      <w:tab/>
      <w:t xml:space="preserve"> Description de poste à la CSTIT</w:t>
    </w:r>
    <w:r>
      <w:rPr>
        <w:rFonts w:ascii="Arial" w:hAnsi="Arial"/>
        <w:sz w:val="20"/>
      </w:rPr>
      <w:tab/>
    </w:r>
    <w:r w:rsidR="00B76E73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Page </w:t>
    </w:r>
    <w:r w:rsidR="00420EFC">
      <w:rPr>
        <w:rFonts w:ascii="Arial" w:hAnsi="Arial" w:cs="Arial"/>
        <w:sz w:val="20"/>
      </w:rPr>
      <w:fldChar w:fldCharType="begin"/>
    </w:r>
    <w:r w:rsidR="00420EFC">
      <w:rPr>
        <w:rFonts w:ascii="Arial" w:hAnsi="Arial" w:cs="Arial"/>
        <w:sz w:val="20"/>
      </w:rPr>
      <w:instrText xml:space="preserve"> PAGE </w:instrText>
    </w:r>
    <w:r w:rsidR="00420EFC">
      <w:rPr>
        <w:rFonts w:ascii="Arial" w:hAnsi="Arial" w:cs="Arial"/>
        <w:sz w:val="20"/>
      </w:rPr>
      <w:fldChar w:fldCharType="separate"/>
    </w:r>
    <w:r w:rsidR="009956C7">
      <w:rPr>
        <w:rFonts w:ascii="Arial" w:hAnsi="Arial" w:cs="Arial"/>
        <w:noProof/>
        <w:sz w:val="20"/>
      </w:rPr>
      <w:t>1</w:t>
    </w:r>
    <w:r w:rsidR="00420EFC">
      <w:rPr>
        <w:rFonts w:ascii="Arial" w:hAnsi="Arial" w:cs="Arial"/>
        <w:sz w:val="20"/>
      </w:rPr>
      <w:fldChar w:fldCharType="end"/>
    </w:r>
    <w:r>
      <w:rPr>
        <w:rFonts w:ascii="Arial" w:hAnsi="Arial"/>
        <w:sz w:val="20"/>
      </w:rPr>
      <w:t xml:space="preserve"> de </w:t>
    </w:r>
    <w:r w:rsidR="00420EFC">
      <w:rPr>
        <w:rFonts w:ascii="Arial" w:hAnsi="Arial" w:cs="Arial"/>
        <w:sz w:val="20"/>
      </w:rPr>
      <w:fldChar w:fldCharType="begin"/>
    </w:r>
    <w:r w:rsidR="00420EFC">
      <w:rPr>
        <w:rFonts w:ascii="Arial" w:hAnsi="Arial" w:cs="Arial"/>
        <w:sz w:val="20"/>
      </w:rPr>
      <w:instrText xml:space="preserve"> NUMPAGES </w:instrText>
    </w:r>
    <w:r w:rsidR="00420EFC">
      <w:rPr>
        <w:rFonts w:ascii="Arial" w:hAnsi="Arial" w:cs="Arial"/>
        <w:sz w:val="20"/>
      </w:rPr>
      <w:fldChar w:fldCharType="separate"/>
    </w:r>
    <w:r w:rsidR="009956C7">
      <w:rPr>
        <w:rFonts w:ascii="Arial" w:hAnsi="Arial" w:cs="Arial"/>
        <w:noProof/>
        <w:sz w:val="20"/>
      </w:rPr>
      <w:t>3</w:t>
    </w:r>
    <w:r w:rsidR="00420EFC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48595" w14:textId="77777777" w:rsidR="00073CDE" w:rsidRDefault="00073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9ACD4" w14:textId="77777777" w:rsidR="00611F6B" w:rsidRDefault="00611F6B">
      <w:r>
        <w:separator/>
      </w:r>
    </w:p>
  </w:footnote>
  <w:footnote w:type="continuationSeparator" w:id="0">
    <w:p w14:paraId="1D0B2A1D" w14:textId="77777777" w:rsidR="00611F6B" w:rsidRDefault="0061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C7C4" w14:textId="77777777" w:rsidR="00073CDE" w:rsidRDefault="00073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C8DDD" w14:textId="77777777" w:rsidR="00073CDE" w:rsidRDefault="00073C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B5BA" w14:textId="77777777" w:rsidR="00073CDE" w:rsidRDefault="00073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1D1"/>
    <w:multiLevelType w:val="singleLevel"/>
    <w:tmpl w:val="508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B6115AD"/>
    <w:multiLevelType w:val="hybridMultilevel"/>
    <w:tmpl w:val="31364F9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4900"/>
    <w:multiLevelType w:val="hybridMultilevel"/>
    <w:tmpl w:val="B178EFF6"/>
    <w:lvl w:ilvl="0" w:tplc="4822B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56189"/>
    <w:multiLevelType w:val="hybridMultilevel"/>
    <w:tmpl w:val="0B8432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B7080"/>
    <w:multiLevelType w:val="hybridMultilevel"/>
    <w:tmpl w:val="73A04C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8E3D92"/>
    <w:multiLevelType w:val="hybridMultilevel"/>
    <w:tmpl w:val="2DE2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1F43"/>
    <w:multiLevelType w:val="hybridMultilevel"/>
    <w:tmpl w:val="1FEE57DE"/>
    <w:lvl w:ilvl="0" w:tplc="34DC2E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F915BB"/>
    <w:multiLevelType w:val="hybridMultilevel"/>
    <w:tmpl w:val="D5EA28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6309DF"/>
    <w:multiLevelType w:val="hybridMultilevel"/>
    <w:tmpl w:val="AA68E1B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D6"/>
    <w:rsid w:val="00010995"/>
    <w:rsid w:val="00017AFA"/>
    <w:rsid w:val="000212B6"/>
    <w:rsid w:val="00073CDE"/>
    <w:rsid w:val="0008487F"/>
    <w:rsid w:val="00097316"/>
    <w:rsid w:val="000A4394"/>
    <w:rsid w:val="000D50A7"/>
    <w:rsid w:val="000E66AE"/>
    <w:rsid w:val="000E6F52"/>
    <w:rsid w:val="0010334F"/>
    <w:rsid w:val="00121E3D"/>
    <w:rsid w:val="0013204B"/>
    <w:rsid w:val="001410D7"/>
    <w:rsid w:val="00165753"/>
    <w:rsid w:val="00184687"/>
    <w:rsid w:val="001C1356"/>
    <w:rsid w:val="00201846"/>
    <w:rsid w:val="00212B96"/>
    <w:rsid w:val="00232FA8"/>
    <w:rsid w:val="002872AD"/>
    <w:rsid w:val="00290A5C"/>
    <w:rsid w:val="002915C0"/>
    <w:rsid w:val="002922BB"/>
    <w:rsid w:val="002D6931"/>
    <w:rsid w:val="002E77C3"/>
    <w:rsid w:val="002F6305"/>
    <w:rsid w:val="00320D68"/>
    <w:rsid w:val="00321456"/>
    <w:rsid w:val="00333ADB"/>
    <w:rsid w:val="003430C0"/>
    <w:rsid w:val="003501D1"/>
    <w:rsid w:val="0037177C"/>
    <w:rsid w:val="00382C9F"/>
    <w:rsid w:val="0039240B"/>
    <w:rsid w:val="00410861"/>
    <w:rsid w:val="00420EFC"/>
    <w:rsid w:val="004441C4"/>
    <w:rsid w:val="00447E84"/>
    <w:rsid w:val="004566AD"/>
    <w:rsid w:val="00493B8F"/>
    <w:rsid w:val="004A0166"/>
    <w:rsid w:val="004A4C0B"/>
    <w:rsid w:val="004D3DEA"/>
    <w:rsid w:val="004F0BAE"/>
    <w:rsid w:val="004F149A"/>
    <w:rsid w:val="004F3937"/>
    <w:rsid w:val="00502831"/>
    <w:rsid w:val="00530F36"/>
    <w:rsid w:val="00532C86"/>
    <w:rsid w:val="0054120B"/>
    <w:rsid w:val="0054715B"/>
    <w:rsid w:val="00580D0F"/>
    <w:rsid w:val="00582980"/>
    <w:rsid w:val="005A45EB"/>
    <w:rsid w:val="005B0268"/>
    <w:rsid w:val="005B11F2"/>
    <w:rsid w:val="005B4065"/>
    <w:rsid w:val="005C385A"/>
    <w:rsid w:val="00607BC3"/>
    <w:rsid w:val="00607D79"/>
    <w:rsid w:val="00611F6B"/>
    <w:rsid w:val="0061312C"/>
    <w:rsid w:val="00622C12"/>
    <w:rsid w:val="00655059"/>
    <w:rsid w:val="006744E7"/>
    <w:rsid w:val="006752CC"/>
    <w:rsid w:val="006B4F96"/>
    <w:rsid w:val="006C002F"/>
    <w:rsid w:val="006C1CE3"/>
    <w:rsid w:val="006D05FF"/>
    <w:rsid w:val="006E4530"/>
    <w:rsid w:val="006F4882"/>
    <w:rsid w:val="00730FF0"/>
    <w:rsid w:val="00767FCE"/>
    <w:rsid w:val="007B52F4"/>
    <w:rsid w:val="007F4F81"/>
    <w:rsid w:val="008065AD"/>
    <w:rsid w:val="00817690"/>
    <w:rsid w:val="0083643F"/>
    <w:rsid w:val="0086109E"/>
    <w:rsid w:val="008726E9"/>
    <w:rsid w:val="00876817"/>
    <w:rsid w:val="008D10A8"/>
    <w:rsid w:val="008E5277"/>
    <w:rsid w:val="00904E19"/>
    <w:rsid w:val="009312BA"/>
    <w:rsid w:val="00945CEB"/>
    <w:rsid w:val="009956C7"/>
    <w:rsid w:val="009A0D8A"/>
    <w:rsid w:val="009B4C39"/>
    <w:rsid w:val="009C76D2"/>
    <w:rsid w:val="009F6CD2"/>
    <w:rsid w:val="00A41179"/>
    <w:rsid w:val="00A73C61"/>
    <w:rsid w:val="00A849AE"/>
    <w:rsid w:val="00B03C26"/>
    <w:rsid w:val="00B059A9"/>
    <w:rsid w:val="00B570CF"/>
    <w:rsid w:val="00B76E73"/>
    <w:rsid w:val="00BE7660"/>
    <w:rsid w:val="00BF7ED6"/>
    <w:rsid w:val="00C13022"/>
    <w:rsid w:val="00C405B0"/>
    <w:rsid w:val="00C50BE8"/>
    <w:rsid w:val="00C97AA8"/>
    <w:rsid w:val="00CA2FC8"/>
    <w:rsid w:val="00CB507F"/>
    <w:rsid w:val="00CC3D78"/>
    <w:rsid w:val="00CD140F"/>
    <w:rsid w:val="00CF2439"/>
    <w:rsid w:val="00CF7620"/>
    <w:rsid w:val="00D22621"/>
    <w:rsid w:val="00D43801"/>
    <w:rsid w:val="00D43A52"/>
    <w:rsid w:val="00D54B95"/>
    <w:rsid w:val="00D62748"/>
    <w:rsid w:val="00D81CFB"/>
    <w:rsid w:val="00D9460E"/>
    <w:rsid w:val="00D96C25"/>
    <w:rsid w:val="00DA490E"/>
    <w:rsid w:val="00DB214F"/>
    <w:rsid w:val="00DD1ACE"/>
    <w:rsid w:val="00DD4ACE"/>
    <w:rsid w:val="00DF48CF"/>
    <w:rsid w:val="00E1213A"/>
    <w:rsid w:val="00E408C9"/>
    <w:rsid w:val="00E44282"/>
    <w:rsid w:val="00E5535F"/>
    <w:rsid w:val="00E878BC"/>
    <w:rsid w:val="00EA669F"/>
    <w:rsid w:val="00ED6E29"/>
    <w:rsid w:val="00ED7D16"/>
    <w:rsid w:val="00F13E3F"/>
    <w:rsid w:val="00F26F4F"/>
    <w:rsid w:val="00F639B6"/>
    <w:rsid w:val="00F8217F"/>
    <w:rsid w:val="00F840BD"/>
    <w:rsid w:val="00F85036"/>
    <w:rsid w:val="00FA6828"/>
    <w:rsid w:val="00FB22A3"/>
    <w:rsid w:val="00FC2A09"/>
    <w:rsid w:val="00FC7509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6D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numPr>
        <w:ilvl w:val="12"/>
      </w:numPr>
      <w:jc w:val="both"/>
      <w:outlineLvl w:val="2"/>
    </w:pPr>
    <w:rPr>
      <w:rFonts w:ascii="Arial" w:hAnsi="Arial"/>
      <w:b/>
      <w:snapToGrid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12"/>
      </w:numPr>
      <w:jc w:val="both"/>
      <w:outlineLvl w:val="4"/>
    </w:pPr>
    <w:rPr>
      <w:rFonts w:ascii="Arial" w:hAnsi="Arial"/>
      <w:b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widowControl w:val="0"/>
      <w:numPr>
        <w:ilvl w:val="12"/>
      </w:numPr>
      <w:jc w:val="both"/>
    </w:pPr>
    <w:rPr>
      <w:rFonts w:ascii="Arial" w:hAnsi="Arial"/>
      <w:b/>
      <w:snapToGrid w:val="0"/>
      <w:szCs w:val="20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widowControl w:val="0"/>
    </w:pPr>
    <w:rPr>
      <w:rFonts w:ascii="Arial" w:hAnsi="Arial"/>
      <w:snapToGrid w:val="0"/>
      <w:sz w:val="20"/>
      <w:szCs w:val="20"/>
    </w:rPr>
  </w:style>
  <w:style w:type="paragraph" w:styleId="BodyText2">
    <w:name w:val="Body Text 2"/>
    <w:basedOn w:val="Normal"/>
    <w:pPr>
      <w:widowControl w:val="0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both"/>
    </w:pPr>
    <w:rPr>
      <w:rFonts w:ascii="Arial" w:hAnsi="Arial"/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OCBase1">
    <w:name w:val="TOC Base1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semiHidden/>
    <w:rsid w:val="00493B8F"/>
    <w:pPr>
      <w:widowControl/>
    </w:pPr>
    <w:rPr>
      <w:rFonts w:ascii="Times New Roman" w:hAnsi="Times New Roman"/>
      <w:b/>
      <w:bCs/>
      <w:snapToGrid/>
    </w:rPr>
  </w:style>
  <w:style w:type="paragraph" w:styleId="BalloonText">
    <w:name w:val="Balloon Text"/>
    <w:basedOn w:val="Normal"/>
    <w:semiHidden/>
    <w:rsid w:val="00493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D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D3DEA"/>
    <w:rPr>
      <w:rFonts w:ascii="Arial" w:hAnsi="Arial"/>
      <w:b/>
      <w:snapToGrid w:val="0"/>
      <w:sz w:val="24"/>
      <w:u w:val="single"/>
      <w:lang w:val="fr-CA"/>
    </w:rPr>
  </w:style>
  <w:style w:type="character" w:customStyle="1" w:styleId="Style1">
    <w:name w:val="Style1"/>
    <w:basedOn w:val="DefaultParagraphFont"/>
    <w:uiPriority w:val="1"/>
    <w:rsid w:val="004D3DEA"/>
    <w:rPr>
      <w:rFonts w:ascii="Cambria" w:hAnsi="Cambria"/>
      <w:sz w:val="24"/>
    </w:rPr>
  </w:style>
  <w:style w:type="character" w:customStyle="1" w:styleId="HeaderChar">
    <w:name w:val="Header Char"/>
    <w:basedOn w:val="DefaultParagraphFont"/>
    <w:link w:val="Header"/>
    <w:rsid w:val="004D3DEA"/>
    <w:rPr>
      <w:rFonts w:ascii="Arial" w:hAnsi="Arial"/>
      <w:snapToGrid w:val="0"/>
      <w:sz w:val="24"/>
      <w:lang w:val="fr-CA"/>
    </w:rPr>
  </w:style>
  <w:style w:type="paragraph" w:customStyle="1" w:styleId="Default">
    <w:name w:val="Default"/>
    <w:rsid w:val="00904E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numPr>
        <w:ilvl w:val="12"/>
      </w:numPr>
      <w:jc w:val="both"/>
      <w:outlineLvl w:val="2"/>
    </w:pPr>
    <w:rPr>
      <w:rFonts w:ascii="Arial" w:hAnsi="Arial"/>
      <w:b/>
      <w:snapToGrid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12"/>
      </w:numPr>
      <w:jc w:val="both"/>
      <w:outlineLvl w:val="4"/>
    </w:pPr>
    <w:rPr>
      <w:rFonts w:ascii="Arial" w:hAnsi="Arial"/>
      <w:b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widowControl w:val="0"/>
      <w:numPr>
        <w:ilvl w:val="12"/>
      </w:numPr>
      <w:jc w:val="both"/>
    </w:pPr>
    <w:rPr>
      <w:rFonts w:ascii="Arial" w:hAnsi="Arial"/>
      <w:b/>
      <w:snapToGrid w:val="0"/>
      <w:szCs w:val="20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widowControl w:val="0"/>
    </w:pPr>
    <w:rPr>
      <w:rFonts w:ascii="Arial" w:hAnsi="Arial"/>
      <w:snapToGrid w:val="0"/>
      <w:sz w:val="20"/>
      <w:szCs w:val="20"/>
    </w:rPr>
  </w:style>
  <w:style w:type="paragraph" w:styleId="BodyText2">
    <w:name w:val="Body Text 2"/>
    <w:basedOn w:val="Normal"/>
    <w:pPr>
      <w:widowControl w:val="0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both"/>
    </w:pPr>
    <w:rPr>
      <w:rFonts w:ascii="Arial" w:hAnsi="Arial"/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OCBase1">
    <w:name w:val="TOC Base1"/>
    <w:basedOn w:val="Normal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Cs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semiHidden/>
    <w:rsid w:val="00493B8F"/>
    <w:pPr>
      <w:widowControl/>
    </w:pPr>
    <w:rPr>
      <w:rFonts w:ascii="Times New Roman" w:hAnsi="Times New Roman"/>
      <w:b/>
      <w:bCs/>
      <w:snapToGrid/>
    </w:rPr>
  </w:style>
  <w:style w:type="paragraph" w:styleId="BalloonText">
    <w:name w:val="Balloon Text"/>
    <w:basedOn w:val="Normal"/>
    <w:semiHidden/>
    <w:rsid w:val="00493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D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D3DEA"/>
    <w:rPr>
      <w:rFonts w:ascii="Arial" w:hAnsi="Arial"/>
      <w:b/>
      <w:snapToGrid w:val="0"/>
      <w:sz w:val="24"/>
      <w:u w:val="single"/>
      <w:lang w:val="fr-CA"/>
    </w:rPr>
  </w:style>
  <w:style w:type="character" w:customStyle="1" w:styleId="Style1">
    <w:name w:val="Style1"/>
    <w:basedOn w:val="DefaultParagraphFont"/>
    <w:uiPriority w:val="1"/>
    <w:rsid w:val="004D3DEA"/>
    <w:rPr>
      <w:rFonts w:ascii="Cambria" w:hAnsi="Cambria"/>
      <w:sz w:val="24"/>
    </w:rPr>
  </w:style>
  <w:style w:type="character" w:customStyle="1" w:styleId="HeaderChar">
    <w:name w:val="Header Char"/>
    <w:basedOn w:val="DefaultParagraphFont"/>
    <w:link w:val="Header"/>
    <w:rsid w:val="004D3DEA"/>
    <w:rPr>
      <w:rFonts w:ascii="Arial" w:hAnsi="Arial"/>
      <w:snapToGrid w:val="0"/>
      <w:sz w:val="24"/>
      <w:lang w:val="fr-CA"/>
    </w:rPr>
  </w:style>
  <w:style w:type="paragraph" w:customStyle="1" w:styleId="Default">
    <w:name w:val="Default"/>
    <w:rsid w:val="00904E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89D090A01AA4AAA0072634835B9CD" ma:contentTypeVersion="3" ma:contentTypeDescription="Create a new document." ma:contentTypeScope="" ma:versionID="02d37b83f2f708a1f6de9005b0c3671a">
  <xsd:schema xmlns:xsd="http://www.w3.org/2001/XMLSchema" xmlns:xs="http://www.w3.org/2001/XMLSchema" xmlns:p="http://schemas.microsoft.com/office/2006/metadata/properties" xmlns:ns2="d8b2a621-e33e-45fd-8c7b-ea5c40db3038" targetNamespace="http://schemas.microsoft.com/office/2006/metadata/properties" ma:root="true" ma:fieldsID="2ee29576e53f3c2add09f8168d91cba2" ns2:_="">
    <xsd:import namespace="d8b2a621-e33e-45fd-8c7b-ea5c40db3038"/>
    <xsd:element name="properties">
      <xsd:complexType>
        <xsd:sequence>
          <xsd:element name="documentManagement">
            <xsd:complexType>
              <xsd:all>
                <xsd:element ref="ns2:Position_x0020__x0023_" minOccurs="0"/>
                <xsd:element ref="ns2:Unit" minOccurs="0"/>
                <xsd:element ref="ns2:Date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a621-e33e-45fd-8c7b-ea5c40db3038" elementFormDefault="qualified">
    <xsd:import namespace="http://schemas.microsoft.com/office/2006/documentManagement/types"/>
    <xsd:import namespace="http://schemas.microsoft.com/office/infopath/2007/PartnerControls"/>
    <xsd:element name="Position_x0020__x0023_" ma:index="8" nillable="true" ma:displayName="Position #" ma:internalName="Position_x0020__x0023_">
      <xsd:simpleType>
        <xsd:restriction base="dms:Text">
          <xsd:maxLength value="255"/>
        </xsd:restriction>
      </xsd:simpleType>
    </xsd:element>
    <xsd:element name="Unit" ma:index="9" nillable="true" ma:displayName="Unit" ma:internalName="Unit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ition_x0020__x0023_ xmlns="d8b2a621-e33e-45fd-8c7b-ea5c40db3038">97-9835</Position_x0020__x0023_>
    <Date_x0020_Approved xmlns="d8b2a621-e33e-45fd-8c7b-ea5c40db3038">2015-11-30T07:00:00+00:00</Date_x0020_Approved>
    <Unit xmlns="d8b2a621-e33e-45fd-8c7b-ea5c40db3038">Claims</Uni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EC9B8-5B8E-48D9-AF49-6022B06995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60582A-1253-431D-92A1-3858553D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2a621-e33e-45fd-8c7b-ea5c40db3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92818-9EAD-437B-83D0-9C70BAC2F832}">
  <ds:schemaRefs>
    <ds:schemaRef ds:uri="http://schemas.microsoft.com/office/2006/metadata/properties"/>
    <ds:schemaRef ds:uri="http://schemas.microsoft.com/office/infopath/2007/PartnerControls"/>
    <ds:schemaRef ds:uri="d8b2a621-e33e-45fd-8c7b-ea5c40db3038"/>
  </ds:schemaRefs>
</ds:datastoreItem>
</file>

<file path=customXml/itemProps4.xml><?xml version="1.0" encoding="utf-8"?>
<ds:datastoreItem xmlns:ds="http://schemas.openxmlformats.org/officeDocument/2006/customXml" ds:itemID="{1B1AFAF0-357D-4615-B2BC-AA45FAF00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TSC-GNWT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cbraden</dc:creator>
  <cp:lastModifiedBy>Gerri Sharpe</cp:lastModifiedBy>
  <cp:revision>2</cp:revision>
  <cp:lastPrinted>2021-03-02T03:48:00Z</cp:lastPrinted>
  <dcterms:created xsi:type="dcterms:W3CDTF">2021-03-03T23:18:00Z</dcterms:created>
  <dcterms:modified xsi:type="dcterms:W3CDTF">2021-03-03T23:18:00Z</dcterms:modified>
</cp:coreProperties>
</file>