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54F5" w14:textId="51B970B1" w:rsidR="00CC270B" w:rsidRPr="00DF196A" w:rsidRDefault="00CC270B" w:rsidP="00CC270B">
      <w:pPr>
        <w:spacing w:after="160" w:line="259" w:lineRule="auto"/>
        <w:jc w:val="center"/>
        <w:rPr>
          <w:rFonts w:ascii="Calibri" w:eastAsia="Calibri" w:hAnsi="Calibri" w:cs="Times New Roman"/>
          <w:i/>
          <w:iCs/>
          <w:kern w:val="2"/>
          <w:sz w:val="22"/>
          <w:szCs w:val="22"/>
          <w14:ligatures w14:val="standardContextual"/>
        </w:rPr>
      </w:pPr>
      <w:r w:rsidRPr="00DF196A">
        <w:rPr>
          <w:rFonts w:ascii="Calibri" w:hAnsi="Calibri"/>
          <w:i/>
          <w:sz w:val="22"/>
          <w:lang w:val="en-CA" w:eastAsia="en-US"/>
        </w:rPr>
        <w:t>Please do not translate green titles – Remove Highlighting for Internal competitions.</w:t>
      </w:r>
    </w:p>
    <w:p w14:paraId="4C4CAF6A" w14:textId="77777777" w:rsidR="00343F71" w:rsidRPr="00DF196A" w:rsidRDefault="00343F71" w:rsidP="00CC270B">
      <w:pPr>
        <w:spacing w:after="160" w:line="259" w:lineRule="auto"/>
        <w:rPr>
          <w:rFonts w:ascii="Calibri" w:eastAsia="Calibri" w:hAnsi="Calibri" w:cs="Times New Roman"/>
          <w:b/>
          <w:bCs/>
          <w:kern w:val="2"/>
          <w:sz w:val="22"/>
          <w:szCs w:val="22"/>
          <w:highlight w:val="green"/>
          <w:lang w:val="en-CA" w:eastAsia="en-US"/>
          <w14:ligatures w14:val="standardContextual"/>
        </w:rPr>
        <w:sectPr w:rsidR="00343F71" w:rsidRPr="00DF196A" w:rsidSect="00CC270B">
          <w:headerReference w:type="default" r:id="rId10"/>
          <w:footerReference w:type="default" r:id="rId11"/>
          <w:type w:val="continuous"/>
          <w:pgSz w:w="12240" w:h="15840" w:code="1"/>
          <w:pgMar w:top="357" w:right="851" w:bottom="2183" w:left="851" w:header="0" w:footer="0" w:gutter="0"/>
          <w:cols w:space="708"/>
          <w:docGrid w:linePitch="360"/>
        </w:sectPr>
      </w:pPr>
    </w:p>
    <w:p w14:paraId="4D33BE2F" w14:textId="52410279" w:rsidR="009A6A3F" w:rsidRPr="00DF196A" w:rsidRDefault="00CC270B" w:rsidP="00CC270B">
      <w:pPr>
        <w:spacing w:after="160" w:line="259" w:lineRule="auto"/>
        <w:rPr>
          <w:rFonts w:ascii="Calibri" w:eastAsia="Calibri" w:hAnsi="Calibri" w:cs="Times New Roman"/>
          <w:bCs/>
          <w:kern w:val="2"/>
          <w:highlight w:val="green"/>
          <w14:ligatures w14:val="standardContextual"/>
        </w:rPr>
      </w:pPr>
      <w:r w:rsidRPr="00DF196A">
        <w:rPr>
          <w:rFonts w:ascii="Calibri" w:hAnsi="Calibri"/>
          <w:b/>
          <w:highlight w:val="green"/>
          <w:lang w:val="en-CA" w:eastAsia="en-US"/>
        </w:rPr>
        <w:t>Job Title:</w:t>
      </w:r>
      <w:r w:rsidRPr="00DF196A">
        <w:rPr>
          <w:rFonts w:ascii="Calibri" w:hAnsi="Calibri"/>
          <w:b/>
          <w:lang w:val="en-CA" w:eastAsia="en-US"/>
        </w:rPr>
        <w:t xml:space="preserve"> </w:t>
      </w:r>
      <w:r w:rsidRPr="00DF196A">
        <w:rPr>
          <w:rFonts w:ascii="Calibri" w:hAnsi="Calibri"/>
        </w:rPr>
        <w:t>Infirmière conseillère ou infirmier conseiller, NU</w:t>
      </w:r>
      <w:r w:rsidRPr="00DF196A">
        <w:rPr>
          <w:rFonts w:ascii="Calibri" w:hAnsi="Calibri"/>
        </w:rPr>
        <w:br/>
      </w:r>
      <w:r w:rsidRPr="00DF196A">
        <w:rPr>
          <w:rFonts w:ascii="Calibri" w:hAnsi="Calibri"/>
          <w:b/>
          <w:highlight w:val="green"/>
          <w:lang w:val="en-CA" w:eastAsia="en-US"/>
        </w:rPr>
        <w:t>Annual Salary</w:t>
      </w:r>
      <w:r w:rsidRPr="00DF196A">
        <w:rPr>
          <w:rFonts w:ascii="Calibri" w:hAnsi="Calibri"/>
          <w:highlight w:val="green"/>
          <w:lang w:val="en-CA" w:eastAsia="en-US"/>
        </w:rPr>
        <w:t>:</w:t>
      </w:r>
      <w:r w:rsidRPr="00DF196A">
        <w:rPr>
          <w:rFonts w:ascii="Calibri" w:hAnsi="Calibri"/>
          <w:lang w:val="en-CA" w:eastAsia="en-US"/>
        </w:rPr>
        <w:t xml:space="preserve"> </w:t>
      </w:r>
      <w:r w:rsidRPr="00DF196A">
        <w:rPr>
          <w:rFonts w:ascii="Calibri" w:hAnsi="Calibri"/>
        </w:rPr>
        <w:t>De 103 818 $ à 124 020 $</w:t>
      </w:r>
      <w:r w:rsidRPr="00DF196A">
        <w:rPr>
          <w:rFonts w:ascii="Calibri" w:hAnsi="Calibri"/>
          <w:b/>
        </w:rPr>
        <w:br/>
      </w:r>
      <w:r w:rsidRPr="00DF196A">
        <w:rPr>
          <w:rFonts w:ascii="Calibri" w:hAnsi="Calibri"/>
          <w:b/>
          <w:highlight w:val="green"/>
          <w:lang w:val="en-CA" w:eastAsia="en-US"/>
        </w:rPr>
        <w:t xml:space="preserve">Competition Number: </w:t>
      </w:r>
      <w:r w:rsidRPr="00DF196A">
        <w:rPr>
          <w:rFonts w:ascii="Calibri" w:hAnsi="Calibri"/>
          <w:highlight w:val="green"/>
          <w:lang w:val="en-CA" w:eastAsia="en-US"/>
        </w:rPr>
        <w:t>25/08</w:t>
      </w:r>
      <w:r w:rsidRPr="00DF196A">
        <w:rPr>
          <w:rFonts w:ascii="Calibri" w:hAnsi="Calibri"/>
          <w:b/>
          <w:lang w:val="en-CA" w:eastAsia="en-US"/>
        </w:rPr>
        <w:br/>
      </w:r>
      <w:r w:rsidRPr="00DF196A">
        <w:rPr>
          <w:rFonts w:ascii="Calibri" w:hAnsi="Calibri"/>
          <w:b/>
          <w:highlight w:val="green"/>
          <w:lang w:val="en-CA" w:eastAsia="en-US"/>
        </w:rPr>
        <w:t xml:space="preserve">Community: </w:t>
      </w:r>
      <w:r w:rsidRPr="00DF196A">
        <w:rPr>
          <w:rFonts w:ascii="Calibri" w:hAnsi="Calibri"/>
          <w:highlight w:val="green"/>
          <w:lang w:val="en-CA" w:eastAsia="en-US"/>
        </w:rPr>
        <w:t>Iqaluit</w:t>
      </w:r>
      <w:r w:rsidRPr="00DF196A">
        <w:rPr>
          <w:rFonts w:ascii="Calibri" w:hAnsi="Calibri"/>
          <w:highlight w:val="green"/>
          <w:lang w:val="en-CA" w:eastAsia="en-US"/>
        </w:rPr>
        <w:br/>
      </w:r>
      <w:r w:rsidRPr="00DF196A">
        <w:rPr>
          <w:rFonts w:ascii="Calibri" w:hAnsi="Calibri"/>
          <w:b/>
          <w:highlight w:val="green"/>
          <w:lang w:val="en-CA" w:eastAsia="en-US"/>
        </w:rPr>
        <w:t xml:space="preserve">Closing Date: </w:t>
      </w:r>
      <w:r w:rsidRPr="00DF196A">
        <w:rPr>
          <w:rFonts w:ascii="Calibri" w:hAnsi="Calibri"/>
          <w:highlight w:val="green"/>
          <w:lang w:val="en-CA" w:eastAsia="en-US"/>
        </w:rPr>
        <w:t>March 23, 2025</w:t>
      </w:r>
    </w:p>
    <w:p w14:paraId="25BCAA70" w14:textId="0984F83C" w:rsidR="00CC270B" w:rsidRPr="00DF196A" w:rsidRDefault="00902187" w:rsidP="00CC270B">
      <w:pPr>
        <w:spacing w:after="160" w:line="259" w:lineRule="auto"/>
        <w:rPr>
          <w:rFonts w:ascii="Calibri" w:eastAsia="Calibri" w:hAnsi="Calibri" w:cstheme="minorHAnsi"/>
          <w:b/>
          <w:bCs/>
          <w:kern w:val="2"/>
          <w14:ligatures w14:val="standardContextual"/>
        </w:rPr>
      </w:pPr>
      <w:r w:rsidRPr="00DF196A">
        <w:rPr>
          <w:rFonts w:ascii="Calibri" w:hAnsi="Calibri"/>
          <w:b/>
          <w:highlight w:val="green"/>
          <w:lang w:val="en-CA" w:eastAsia="en-US"/>
        </w:rPr>
        <w:br/>
        <w:t>Here are a few ways you will make a difference:</w:t>
      </w:r>
      <w:r w:rsidRPr="00DF196A">
        <w:rPr>
          <w:rFonts w:ascii="Calibri" w:hAnsi="Calibri"/>
          <w:b/>
          <w:lang w:val="en-CA" w:eastAsia="en-US"/>
        </w:rPr>
        <w:t xml:space="preserve"> </w:t>
      </w:r>
    </w:p>
    <w:p w14:paraId="664D9F90" w14:textId="5E426740" w:rsidR="00801D3B" w:rsidRPr="00DF196A" w:rsidRDefault="00801D3B" w:rsidP="00801D3B">
      <w:pPr>
        <w:keepLines/>
        <w:widowControl w:val="0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eastAsia="Times New Roman" w:cstheme="minorHAnsi"/>
        </w:rPr>
      </w:pPr>
      <w:r w:rsidRPr="00DF196A">
        <w:t>Effectuer des revues de dossiers et produire des rapports de consultation médicale en fonction de votre degré d</w:t>
      </w:r>
      <w:r w:rsidR="00DF196A">
        <w:t>’</w:t>
      </w:r>
      <w:r w:rsidRPr="00DF196A">
        <w:t>expertise en soins infirmiers</w:t>
      </w:r>
    </w:p>
    <w:p w14:paraId="3E712463" w14:textId="395C6700" w:rsidR="00801D3B" w:rsidRPr="00DF196A" w:rsidRDefault="00801D3B" w:rsidP="00801D3B">
      <w:pPr>
        <w:keepLines/>
        <w:widowControl w:val="0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eastAsia="Times New Roman" w:cstheme="minorHAnsi"/>
        </w:rPr>
      </w:pPr>
      <w:r w:rsidRPr="00DF196A">
        <w:t>Réviser, évaluer et expliquer les rapports médicaux en vue de fournir suffisamment de renseignements médicaux à l</w:t>
      </w:r>
      <w:r w:rsidR="00DF196A">
        <w:t>’</w:t>
      </w:r>
      <w:r w:rsidRPr="00DF196A">
        <w:t>appui du « meilleur » plan d</w:t>
      </w:r>
      <w:r w:rsidR="00DF196A">
        <w:t>’</w:t>
      </w:r>
      <w:r w:rsidRPr="00DF196A">
        <w:t>action pour faciliter le retour au travail</w:t>
      </w:r>
    </w:p>
    <w:p w14:paraId="736C332B" w14:textId="0D910261" w:rsidR="009252CD" w:rsidRPr="00DF196A" w:rsidRDefault="009252CD" w:rsidP="009252CD">
      <w:pPr>
        <w:keepLines/>
        <w:widowControl w:val="0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eastAsia="Times New Roman" w:cstheme="minorHAnsi"/>
        </w:rPr>
      </w:pPr>
      <w:r w:rsidRPr="00DF196A">
        <w:t>Préparer et animer des séances de formation destinées au personnel des Services des réclamations et du Comité de révision</w:t>
      </w:r>
    </w:p>
    <w:p w14:paraId="0E950025" w14:textId="48DFF458" w:rsidR="00801D3B" w:rsidRPr="00DF196A" w:rsidRDefault="00801D3B" w:rsidP="00801D3B">
      <w:pPr>
        <w:keepLines/>
        <w:widowControl w:val="0"/>
        <w:numPr>
          <w:ilvl w:val="0"/>
          <w:numId w:val="3"/>
        </w:numPr>
        <w:tabs>
          <w:tab w:val="left" w:pos="-720"/>
        </w:tabs>
        <w:suppressAutoHyphens/>
        <w:contextualSpacing/>
        <w:rPr>
          <w:rFonts w:eastAsia="Times New Roman" w:cstheme="minorHAnsi"/>
        </w:rPr>
      </w:pPr>
      <w:r w:rsidRPr="00DF196A">
        <w:t>Vérifier si un accident s</w:t>
      </w:r>
      <w:r w:rsidR="00DF196A">
        <w:t>’</w:t>
      </w:r>
      <w:r w:rsidRPr="00DF196A">
        <w:t>est produit ou non et en déterminer les circonstances, le lien avec la blessure et les conséquences sur les tâches associées à l</w:t>
      </w:r>
      <w:r w:rsidR="00DF196A">
        <w:t>’</w:t>
      </w:r>
      <w:r w:rsidRPr="00DF196A">
        <w:t>emploi, etc. – interroger le travailleur, l</w:t>
      </w:r>
      <w:r w:rsidR="00DF196A">
        <w:t>’</w:t>
      </w:r>
      <w:r w:rsidRPr="00DF196A">
        <w:t>employeur et les témoins de l</w:t>
      </w:r>
      <w:r w:rsidR="00DF196A">
        <w:t>’</w:t>
      </w:r>
      <w:r w:rsidRPr="00DF196A">
        <w:t>accident s</w:t>
      </w:r>
      <w:r w:rsidR="00DF196A">
        <w:t>’</w:t>
      </w:r>
      <w:r w:rsidRPr="00DF196A">
        <w:t>il y a lieu</w:t>
      </w:r>
    </w:p>
    <w:p w14:paraId="0445E2F7" w14:textId="537D3CC3" w:rsidR="00801D3B" w:rsidRPr="003C313D" w:rsidRDefault="00801D3B" w:rsidP="00801D3B">
      <w:pPr>
        <w:keepLines/>
        <w:widowControl w:val="0"/>
        <w:numPr>
          <w:ilvl w:val="0"/>
          <w:numId w:val="3"/>
        </w:numPr>
        <w:tabs>
          <w:tab w:val="left" w:pos="-720"/>
        </w:tabs>
        <w:suppressAutoHyphens/>
        <w:contextualSpacing/>
        <w:jc w:val="both"/>
        <w:rPr>
          <w:rFonts w:eastAsia="Times New Roman" w:cstheme="minorHAnsi"/>
        </w:rPr>
      </w:pPr>
      <w:r w:rsidRPr="00DF196A">
        <w:t xml:space="preserve">Déterminer la pertinence des services médicaux initiaux fournis par les professionnels de la santé en </w:t>
      </w:r>
      <w:r w:rsidRPr="003C313D">
        <w:rPr>
          <w:rFonts w:cstheme="minorHAnsi"/>
        </w:rPr>
        <w:t>fonction de la blessure</w:t>
      </w:r>
    </w:p>
    <w:p w14:paraId="657DFBB6" w14:textId="2FE3518D" w:rsidR="009252CD" w:rsidRPr="003C313D" w:rsidRDefault="009252CD" w:rsidP="009252CD">
      <w:pPr>
        <w:keepLines/>
        <w:widowControl w:val="0"/>
        <w:numPr>
          <w:ilvl w:val="0"/>
          <w:numId w:val="3"/>
        </w:numPr>
        <w:tabs>
          <w:tab w:val="left" w:pos="-720"/>
        </w:tabs>
        <w:suppressAutoHyphens/>
        <w:contextualSpacing/>
        <w:jc w:val="both"/>
        <w:rPr>
          <w:rFonts w:eastAsia="Times New Roman" w:cstheme="minorHAnsi"/>
          <w:strike/>
        </w:rPr>
      </w:pPr>
      <w:r w:rsidRPr="003C313D">
        <w:rPr>
          <w:rFonts w:cstheme="minorHAnsi"/>
        </w:rPr>
        <w:t>Coordonner et planifier les examens médicaux et les consultations en cliniques établies à l</w:t>
      </w:r>
      <w:r w:rsidR="00DF196A" w:rsidRPr="003C313D">
        <w:rPr>
          <w:rFonts w:cstheme="minorHAnsi"/>
        </w:rPr>
        <w:t>’</w:t>
      </w:r>
      <w:r w:rsidRPr="003C313D">
        <w:rPr>
          <w:rFonts w:cstheme="minorHAnsi"/>
        </w:rPr>
        <w:t>interne pour traiter les DMP Préparer les dossiers d</w:t>
      </w:r>
      <w:r w:rsidR="00DF196A" w:rsidRPr="003C313D">
        <w:rPr>
          <w:rFonts w:cstheme="minorHAnsi"/>
        </w:rPr>
        <w:t>’</w:t>
      </w:r>
      <w:r w:rsidRPr="003C313D">
        <w:rPr>
          <w:rFonts w:cstheme="minorHAnsi"/>
        </w:rPr>
        <w:t xml:space="preserve">indemnisation à des fins cliniques </w:t>
      </w:r>
    </w:p>
    <w:p w14:paraId="51E361E7" w14:textId="2A29B660" w:rsidR="00CC270B" w:rsidRPr="00DF196A" w:rsidRDefault="00902187" w:rsidP="009252CD">
      <w:pPr>
        <w:spacing w:after="160" w:line="259" w:lineRule="auto"/>
        <w:ind w:left="360"/>
        <w:contextualSpacing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3C313D">
        <w:rPr>
          <w:rFonts w:cstheme="minorHAnsi"/>
          <w:b/>
        </w:rPr>
        <w:br/>
      </w:r>
      <w:r w:rsidRPr="00DF196A">
        <w:rPr>
          <w:rFonts w:ascii="Calibri" w:hAnsi="Calibri"/>
          <w:b/>
          <w:lang w:val="en-CA" w:eastAsia="en-US"/>
        </w:rPr>
        <w:t xml:space="preserve"> </w:t>
      </w:r>
    </w:p>
    <w:p w14:paraId="1B2FC53E" w14:textId="77777777" w:rsidR="00CC270B" w:rsidRPr="00DF196A" w:rsidRDefault="00CC270B" w:rsidP="00CC270B">
      <w:pPr>
        <w:spacing w:after="160" w:line="259" w:lineRule="auto"/>
        <w:rPr>
          <w:rFonts w:ascii="Calibri" w:eastAsia="Calibri" w:hAnsi="Calibri" w:cstheme="minorHAnsi"/>
          <w:b/>
          <w:bCs/>
          <w:kern w:val="2"/>
          <w14:ligatures w14:val="standardContextual"/>
        </w:rPr>
      </w:pPr>
      <w:r w:rsidRPr="00DF196A">
        <w:rPr>
          <w:rFonts w:ascii="Calibri" w:hAnsi="Calibri"/>
          <w:b/>
          <w:highlight w:val="green"/>
          <w:lang w:val="en-CA" w:eastAsia="en-US"/>
        </w:rPr>
        <w:t>What you bring to the role:</w:t>
      </w:r>
    </w:p>
    <w:p w14:paraId="3D4C1230" w14:textId="3401269E" w:rsidR="009252CD" w:rsidRPr="00DF196A" w:rsidRDefault="009252CD" w:rsidP="00CC270B">
      <w:pPr>
        <w:numPr>
          <w:ilvl w:val="0"/>
          <w:numId w:val="2"/>
        </w:numPr>
        <w:spacing w:after="160" w:line="259" w:lineRule="auto"/>
        <w:contextualSpacing/>
        <w:rPr>
          <w:rFonts w:eastAsia="Calibri" w:cstheme="minorHAnsi"/>
          <w:kern w:val="2"/>
          <w14:ligatures w14:val="standardContextual"/>
        </w:rPr>
      </w:pPr>
      <w:r w:rsidRPr="00DF196A">
        <w:t>l</w:t>
      </w:r>
      <w:r w:rsidR="00DF196A">
        <w:t>’</w:t>
      </w:r>
      <w:r w:rsidRPr="00DF196A">
        <w:t>obtention d</w:t>
      </w:r>
      <w:r w:rsidR="00DF196A">
        <w:t>’</w:t>
      </w:r>
      <w:r w:rsidRPr="00DF196A">
        <w:t>un baccalauréat en sciences infirmières, avec une expérience récente d</w:t>
      </w:r>
      <w:r w:rsidR="00DF196A">
        <w:t>’</w:t>
      </w:r>
      <w:r w:rsidRPr="00DF196A">
        <w:t>au moins trois (3) ans en soins infirmiers dans un milieu clinique pertinent;</w:t>
      </w:r>
    </w:p>
    <w:p w14:paraId="060F52EA" w14:textId="1F8989B8" w:rsidR="009252CD" w:rsidRPr="00DF196A" w:rsidRDefault="009252CD" w:rsidP="009252CD">
      <w:pPr>
        <w:numPr>
          <w:ilvl w:val="0"/>
          <w:numId w:val="2"/>
        </w:numPr>
        <w:spacing w:after="160" w:line="259" w:lineRule="auto"/>
        <w:contextualSpacing/>
        <w:rPr>
          <w:rFonts w:eastAsia="Calibri" w:cstheme="minorHAnsi"/>
          <w:kern w:val="2"/>
          <w14:ligatures w14:val="standardContextual"/>
        </w:rPr>
      </w:pPr>
      <w:r w:rsidRPr="00DF196A">
        <w:t>un agrément, ou la capacité de l</w:t>
      </w:r>
      <w:r w:rsidR="00DF196A">
        <w:t>’</w:t>
      </w:r>
      <w:r w:rsidRPr="00DF196A">
        <w:t>obtenir, auprès de l</w:t>
      </w:r>
      <w:r w:rsidR="00DF196A">
        <w:t>’</w:t>
      </w:r>
      <w:r w:rsidRPr="00DF196A">
        <w:t>Association des infirmières et infirmiers autorisés des Territoires du Nord-Ouest et du Nunavut (RNANT/NU);</w:t>
      </w:r>
    </w:p>
    <w:p w14:paraId="761A7606" w14:textId="7B64CABD" w:rsidR="009252CD" w:rsidRPr="00DF196A" w:rsidRDefault="009252CD" w:rsidP="009252CD">
      <w:pPr>
        <w:numPr>
          <w:ilvl w:val="0"/>
          <w:numId w:val="2"/>
        </w:numPr>
        <w:spacing w:after="160" w:line="259" w:lineRule="auto"/>
        <w:contextualSpacing/>
        <w:rPr>
          <w:rFonts w:eastAsia="Calibri" w:cstheme="minorHAnsi"/>
          <w:kern w:val="2"/>
          <w14:ligatures w14:val="standardContextual"/>
        </w:rPr>
      </w:pPr>
      <w:r w:rsidRPr="00DF196A">
        <w:t>une connaissance du système de soins de santé et des fournisseurs de services de soins de santé, y compris l</w:t>
      </w:r>
      <w:r w:rsidR="00DF196A">
        <w:t>’</w:t>
      </w:r>
      <w:r w:rsidRPr="00DF196A">
        <w:t>accès à ceux-ci et la portée couverte;</w:t>
      </w:r>
    </w:p>
    <w:p w14:paraId="14EAB4C0" w14:textId="18E6FEF9" w:rsidR="009252CD" w:rsidRPr="00DF196A" w:rsidRDefault="009252CD" w:rsidP="009252CD">
      <w:pPr>
        <w:numPr>
          <w:ilvl w:val="0"/>
          <w:numId w:val="2"/>
        </w:numPr>
        <w:jc w:val="both"/>
        <w:rPr>
          <w:rFonts w:eastAsia="Times New Roman" w:cstheme="minorHAnsi"/>
        </w:rPr>
      </w:pPr>
      <w:r w:rsidRPr="00DF196A">
        <w:t>une bonne connaissance pratique de la mise en œuvre des éléments d</w:t>
      </w:r>
      <w:r w:rsidR="00DF196A">
        <w:t>’</w:t>
      </w:r>
      <w:r w:rsidRPr="00DF196A">
        <w:t>un plan de santé et de mieux-être;</w:t>
      </w:r>
    </w:p>
    <w:p w14:paraId="49175A41" w14:textId="00BCD27E" w:rsidR="009252CD" w:rsidRPr="00DF196A" w:rsidRDefault="009252CD" w:rsidP="009252CD">
      <w:pPr>
        <w:numPr>
          <w:ilvl w:val="0"/>
          <w:numId w:val="2"/>
        </w:numPr>
        <w:jc w:val="both"/>
        <w:rPr>
          <w:rFonts w:eastAsia="Times New Roman" w:cstheme="minorHAnsi"/>
        </w:rPr>
      </w:pPr>
      <w:r w:rsidRPr="00DF196A">
        <w:t>la capacité de préparer et d</w:t>
      </w:r>
      <w:r w:rsidR="00DF196A">
        <w:t>’</w:t>
      </w:r>
      <w:r w:rsidRPr="00DF196A">
        <w:t>animer des présentations et des séances de formation;</w:t>
      </w:r>
    </w:p>
    <w:p w14:paraId="12AEABB3" w14:textId="766591D1" w:rsidR="00CC270B" w:rsidRPr="00DF196A" w:rsidRDefault="009252CD" w:rsidP="00CC270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kern w:val="2"/>
          <w14:ligatures w14:val="standardContextual"/>
        </w:rPr>
      </w:pPr>
      <w:r w:rsidRPr="00DF196A">
        <w:lastRenderedPageBreak/>
        <w:t xml:space="preserve">une connaissance des </w:t>
      </w:r>
      <w:r w:rsidRPr="00DF196A">
        <w:rPr>
          <w:i/>
          <w:iCs/>
        </w:rPr>
        <w:t>Lois sur l</w:t>
      </w:r>
      <w:r w:rsidR="00DF196A">
        <w:rPr>
          <w:i/>
          <w:iCs/>
        </w:rPr>
        <w:t>’</w:t>
      </w:r>
      <w:r w:rsidRPr="00DF196A">
        <w:rPr>
          <w:i/>
          <w:iCs/>
        </w:rPr>
        <w:t>indemnisation des travailleurs</w:t>
      </w:r>
      <w:r w:rsidRPr="00DF196A">
        <w:t xml:space="preserve"> et la capacité d</w:t>
      </w:r>
      <w:r w:rsidR="00DF196A">
        <w:t>’</w:t>
      </w:r>
      <w:r w:rsidRPr="00DF196A">
        <w:t>interpréter et d</w:t>
      </w:r>
      <w:r w:rsidR="00DF196A">
        <w:t>’</w:t>
      </w:r>
      <w:r w:rsidRPr="00DF196A">
        <w:t>appliquer les lois, les politiques et les procédures pour faire des recommandations</w:t>
      </w:r>
      <w:r w:rsidR="003C313D">
        <w:t>.</w:t>
      </w:r>
      <w:r w:rsidRPr="00DF196A">
        <w:rPr>
          <w:rFonts w:ascii="Calibri" w:hAnsi="Calibri"/>
        </w:rPr>
        <w:br/>
        <w:t xml:space="preserve"> </w:t>
      </w:r>
    </w:p>
    <w:p w14:paraId="6D16CB93" w14:textId="77777777" w:rsidR="00852D49" w:rsidRPr="00DF196A" w:rsidRDefault="00852D49" w:rsidP="00852D49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DF196A">
        <w:rPr>
          <w:rFonts w:ascii="Calibri" w:hAnsi="Calibri"/>
          <w:b/>
          <w:highlight w:val="green"/>
          <w:lang w:val="en-CA" w:eastAsia="en-US"/>
        </w:rPr>
        <w:t>What we offer *Remove this for internal postings:</w:t>
      </w:r>
      <w:r w:rsidRPr="00DF196A">
        <w:rPr>
          <w:rFonts w:ascii="Calibri" w:hAnsi="Calibri"/>
          <w:b/>
          <w:lang w:val="en-CA" w:eastAsia="en-US"/>
        </w:rPr>
        <w:t xml:space="preserve"> </w:t>
      </w:r>
    </w:p>
    <w:p w14:paraId="1E8CA87C" w14:textId="6F701B92" w:rsidR="00852D49" w:rsidRPr="00DF196A" w:rsidRDefault="00852D49" w:rsidP="00852D49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kern w:val="2"/>
        </w:rPr>
      </w:pPr>
      <w:r w:rsidRPr="00DF196A">
        <w:rPr>
          <w:rFonts w:ascii="Calibri" w:hAnsi="Calibri"/>
        </w:rPr>
        <w:t>La possibilité de contribuer à l</w:t>
      </w:r>
      <w:r w:rsidR="00DF196A">
        <w:rPr>
          <w:rFonts w:ascii="Calibri" w:hAnsi="Calibri"/>
        </w:rPr>
        <w:t>’</w:t>
      </w:r>
      <w:r w:rsidRPr="00DF196A">
        <w:rPr>
          <w:rFonts w:ascii="Calibri" w:hAnsi="Calibri"/>
        </w:rPr>
        <w:t>amélioration de la qualité de vie des travailleurs des TNO et du Nunavut</w:t>
      </w:r>
    </w:p>
    <w:p w14:paraId="15286E0C" w14:textId="14EC87BE" w:rsidR="00852D49" w:rsidRPr="00DF196A" w:rsidRDefault="00852D49" w:rsidP="00852D49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kern w:val="2"/>
        </w:rPr>
      </w:pPr>
      <w:r w:rsidRPr="00DF196A">
        <w:t>Une indemnité de vie dans le Nord de 22 878 $</w:t>
      </w:r>
    </w:p>
    <w:p w14:paraId="4B128366" w14:textId="0D1B11CB" w:rsidR="00852D49" w:rsidRPr="00DF196A" w:rsidRDefault="00852D49" w:rsidP="00852D49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kern w:val="2"/>
        </w:rPr>
      </w:pPr>
      <w:r w:rsidRPr="00DF196A">
        <w:rPr>
          <w:rFonts w:ascii="Calibri" w:hAnsi="Calibri"/>
        </w:rPr>
        <w:t>Une aide à la réinstallation et/ou l</w:t>
      </w:r>
      <w:r w:rsidR="00DF196A">
        <w:rPr>
          <w:rFonts w:ascii="Calibri" w:hAnsi="Calibri"/>
        </w:rPr>
        <w:t>’</w:t>
      </w:r>
      <w:r w:rsidRPr="00DF196A">
        <w:rPr>
          <w:rFonts w:ascii="Calibri" w:hAnsi="Calibri"/>
        </w:rPr>
        <w:t>offre d</w:t>
      </w:r>
      <w:r w:rsidR="00DF196A">
        <w:rPr>
          <w:rFonts w:ascii="Calibri" w:hAnsi="Calibri"/>
        </w:rPr>
        <w:t>’</w:t>
      </w:r>
      <w:r w:rsidRPr="00DF196A">
        <w:rPr>
          <w:rFonts w:ascii="Calibri" w:hAnsi="Calibri"/>
        </w:rPr>
        <w:t>un logement subventionné (réservé au personnel)</w:t>
      </w:r>
    </w:p>
    <w:p w14:paraId="2047AD02" w14:textId="572F40F8" w:rsidR="00852D49" w:rsidRPr="00DF196A" w:rsidRDefault="00852D49" w:rsidP="00852D49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kern w:val="2"/>
        </w:rPr>
      </w:pPr>
      <w:r w:rsidRPr="00DF196A">
        <w:rPr>
          <w:rFonts w:ascii="Calibri" w:hAnsi="Calibri"/>
        </w:rPr>
        <w:t>Un ensemble supérieur d</w:t>
      </w:r>
      <w:r w:rsidR="00DF196A">
        <w:rPr>
          <w:rFonts w:ascii="Calibri" w:hAnsi="Calibri"/>
        </w:rPr>
        <w:t>’</w:t>
      </w:r>
      <w:r w:rsidRPr="00DF196A">
        <w:rPr>
          <w:rFonts w:ascii="Calibri" w:hAnsi="Calibri"/>
        </w:rPr>
        <w:t>avantages sociaux et la participation au régime de retraite de la fonction publique</w:t>
      </w:r>
    </w:p>
    <w:p w14:paraId="78C4EE1B" w14:textId="3381C076" w:rsidR="00852D49" w:rsidRPr="00DF196A" w:rsidRDefault="00852D49" w:rsidP="00852D49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kern w:val="2"/>
        </w:rPr>
      </w:pPr>
      <w:r w:rsidRPr="00DF196A">
        <w:rPr>
          <w:rFonts w:ascii="Calibri" w:hAnsi="Calibri"/>
        </w:rPr>
        <w:t>L</w:t>
      </w:r>
      <w:r w:rsidR="00DF196A">
        <w:rPr>
          <w:rFonts w:ascii="Calibri" w:hAnsi="Calibri"/>
        </w:rPr>
        <w:t>’</w:t>
      </w:r>
      <w:r w:rsidRPr="00DF196A">
        <w:rPr>
          <w:rFonts w:ascii="Calibri" w:hAnsi="Calibri"/>
        </w:rPr>
        <w:t>accès à des programmes d</w:t>
      </w:r>
      <w:r w:rsidR="00DF196A">
        <w:rPr>
          <w:rFonts w:ascii="Calibri" w:hAnsi="Calibri"/>
        </w:rPr>
        <w:t>’</w:t>
      </w:r>
      <w:r w:rsidRPr="00DF196A">
        <w:rPr>
          <w:rFonts w:ascii="Calibri" w:hAnsi="Calibri"/>
        </w:rPr>
        <w:t>apprentissage et de perfectionnement, et l</w:t>
      </w:r>
      <w:r w:rsidR="00DF196A">
        <w:rPr>
          <w:rFonts w:ascii="Calibri" w:hAnsi="Calibri"/>
        </w:rPr>
        <w:t>’</w:t>
      </w:r>
      <w:r w:rsidRPr="00DF196A">
        <w:rPr>
          <w:rFonts w:ascii="Calibri" w:hAnsi="Calibri"/>
        </w:rPr>
        <w:t>affectation de fonds à votre avancement professionnel</w:t>
      </w:r>
    </w:p>
    <w:p w14:paraId="35EF6D7B" w14:textId="77777777" w:rsidR="00852D49" w:rsidRPr="00DF196A" w:rsidRDefault="00852D49" w:rsidP="00852D49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kern w:val="2"/>
        </w:rPr>
      </w:pPr>
      <w:r w:rsidRPr="00DF196A">
        <w:rPr>
          <w:rFonts w:ascii="Calibri" w:hAnsi="Calibri"/>
        </w:rPr>
        <w:t>Le droit à des congés généreux et une culture organisationnelle qui favorise une saine conciliation du travail et de la vie personnelle</w:t>
      </w:r>
    </w:p>
    <w:p w14:paraId="3D47E246" w14:textId="72DBF491" w:rsidR="00852D49" w:rsidRPr="00DF196A" w:rsidRDefault="00852D49" w:rsidP="00852D49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kern w:val="2"/>
        </w:rPr>
      </w:pPr>
      <w:r w:rsidRPr="00DF196A">
        <w:rPr>
          <w:rFonts w:ascii="Calibri" w:hAnsi="Calibri"/>
        </w:rPr>
        <w:t>Un effectif diversifié sur le plan culturel qui fait place au changement et accueille votre expérience vécue</w:t>
      </w:r>
    </w:p>
    <w:p w14:paraId="09C06210" w14:textId="781224CE" w:rsidR="00852D49" w:rsidRPr="00DF196A" w:rsidRDefault="00852D49" w:rsidP="00852D49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kern w:val="2"/>
        </w:rPr>
      </w:pPr>
      <w:r w:rsidRPr="00DF196A">
        <w:rPr>
          <w:rFonts w:ascii="Calibri" w:hAnsi="Calibri"/>
        </w:rPr>
        <w:t>Des incitatifs financiers des gouvernements fédéral et territorial, comme les crédits d</w:t>
      </w:r>
      <w:r w:rsidR="00DF196A">
        <w:rPr>
          <w:rFonts w:ascii="Calibri" w:hAnsi="Calibri"/>
        </w:rPr>
        <w:t>’</w:t>
      </w:r>
      <w:r w:rsidRPr="00DF196A">
        <w:rPr>
          <w:rFonts w:ascii="Calibri" w:hAnsi="Calibri"/>
        </w:rPr>
        <w:t>impôt personnels (TNO ou Nunavut) et la déduction fiscale pour les résidents du Nord</w:t>
      </w:r>
    </w:p>
    <w:p w14:paraId="347EAFFE" w14:textId="00B47D5F" w:rsidR="00852D49" w:rsidRPr="00DF196A" w:rsidRDefault="00852D49" w:rsidP="00852D49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DF196A">
        <w:rPr>
          <w:rFonts w:ascii="Calibri" w:hAnsi="Calibri"/>
          <w:b/>
          <w:highlight w:val="green"/>
        </w:rPr>
        <w:br/>
      </w:r>
      <w:r w:rsidRPr="00DF196A">
        <w:rPr>
          <w:rFonts w:ascii="Calibri" w:hAnsi="Calibri"/>
          <w:b/>
          <w:highlight w:val="green"/>
          <w:lang w:val="en-CA" w:eastAsia="en-US"/>
        </w:rPr>
        <w:t>Criminal Record Check:</w:t>
      </w:r>
      <w:r w:rsidRPr="00DF196A">
        <w:rPr>
          <w:rFonts w:ascii="Calibri" w:hAnsi="Calibri"/>
          <w:b/>
          <w:lang w:val="en-CA" w:eastAsia="en-US"/>
        </w:rPr>
        <w:t xml:space="preserve"> </w:t>
      </w:r>
      <w:r w:rsidRPr="00DF196A">
        <w:rPr>
          <w:rFonts w:ascii="Calibri" w:hAnsi="Calibri"/>
        </w:rPr>
        <w:t>Les candidats et candidates doivent être en mesure de fournir une vérification satisfaisante de leurs antécédents judiciaires. En l</w:t>
      </w:r>
      <w:r w:rsidR="00DF196A">
        <w:rPr>
          <w:rFonts w:ascii="Calibri" w:hAnsi="Calibri"/>
        </w:rPr>
        <w:t>’</w:t>
      </w:r>
      <w:r w:rsidRPr="00DF196A">
        <w:rPr>
          <w:rFonts w:ascii="Calibri" w:hAnsi="Calibri"/>
        </w:rPr>
        <w:t>absence de celle-ci, votre candidature pourrait être rejetée.</w:t>
      </w:r>
    </w:p>
    <w:p w14:paraId="7B32753E" w14:textId="77777777" w:rsidR="00852D49" w:rsidRPr="00DF196A" w:rsidRDefault="00852D49" w:rsidP="00852D49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DF196A">
        <w:rPr>
          <w:rFonts w:ascii="Calibri" w:hAnsi="Calibri"/>
          <w:b/>
        </w:rPr>
        <w:t xml:space="preserve">Si ce poste correspond à vos compétences et vos aspirations, veuillez envoyer votre curriculam vitae, en citant le numéro du concours, </w:t>
      </w:r>
      <w:hyperlink r:id="rId12" w:history="1">
        <w:r w:rsidRPr="00DF196A">
          <w:rPr>
            <w:rStyle w:val="Lienhypertexte"/>
            <w:rFonts w:ascii="Calibri" w:hAnsi="Calibri"/>
            <w:b/>
          </w:rPr>
          <w:t>ici</w:t>
        </w:r>
      </w:hyperlink>
      <w:r w:rsidRPr="00DF196A">
        <w:t>.</w:t>
      </w:r>
    </w:p>
    <w:p w14:paraId="59C8C0C9" w14:textId="355EAD78" w:rsidR="00852D49" w:rsidRPr="00DF196A" w:rsidRDefault="00852D49" w:rsidP="00852D49">
      <w:pPr>
        <w:spacing w:after="160" w:line="256" w:lineRule="auto"/>
        <w:rPr>
          <w:rFonts w:ascii="Calibri" w:eastAsia="Calibri" w:hAnsi="Calibri" w:cs="Times New Roman"/>
          <w:kern w:val="2"/>
        </w:rPr>
      </w:pPr>
      <w:r w:rsidRPr="00DF196A">
        <w:rPr>
          <w:rFonts w:ascii="Calibri" w:hAnsi="Calibri"/>
          <w:b/>
          <w:highlight w:val="green"/>
          <w:lang w:val="en-CA" w:eastAsia="en-US"/>
        </w:rPr>
        <w:t>Affirmative Action:</w:t>
      </w:r>
      <w:r w:rsidRPr="00DF196A">
        <w:rPr>
          <w:rFonts w:ascii="Calibri" w:hAnsi="Calibri"/>
          <w:lang w:val="en-CA" w:eastAsia="en-US"/>
        </w:rPr>
        <w:t xml:space="preserve"> </w:t>
      </w:r>
      <w:r w:rsidRPr="00DF196A">
        <w:rPr>
          <w:rFonts w:ascii="Calibri" w:hAnsi="Calibri"/>
        </w:rPr>
        <w:t>Les candidates et candidats doivent clairement indiquer leur admissibilité au privilège de faire l</w:t>
      </w:r>
      <w:r w:rsidR="00DF196A">
        <w:rPr>
          <w:rFonts w:ascii="Calibri" w:hAnsi="Calibri"/>
        </w:rPr>
        <w:t>’</w:t>
      </w:r>
      <w:r w:rsidRPr="00DF196A">
        <w:rPr>
          <w:rFonts w:ascii="Calibri" w:hAnsi="Calibri"/>
        </w:rPr>
        <w:t>objet d</w:t>
      </w:r>
      <w:r w:rsidR="00DF196A">
        <w:rPr>
          <w:rFonts w:ascii="Calibri" w:hAnsi="Calibri"/>
        </w:rPr>
        <w:t>’</w:t>
      </w:r>
      <w:r w:rsidRPr="00DF196A">
        <w:rPr>
          <w:rFonts w:ascii="Calibri" w:hAnsi="Calibri"/>
        </w:rPr>
        <w:t>une attention prioritaire en vertu de la Politique d</w:t>
      </w:r>
      <w:r w:rsidR="00DF196A">
        <w:rPr>
          <w:rFonts w:ascii="Calibri" w:hAnsi="Calibri"/>
        </w:rPr>
        <w:t>’</w:t>
      </w:r>
      <w:r w:rsidRPr="00DF196A">
        <w:rPr>
          <w:rFonts w:ascii="Calibri" w:hAnsi="Calibri"/>
        </w:rPr>
        <w:t>action positive.</w:t>
      </w:r>
    </w:p>
    <w:p w14:paraId="0598C334" w14:textId="4BE5444C" w:rsidR="00852D49" w:rsidRPr="00DF196A" w:rsidRDefault="00852D49" w:rsidP="00852D49">
      <w:pPr>
        <w:spacing w:after="160" w:line="256" w:lineRule="auto"/>
        <w:rPr>
          <w:rFonts w:ascii="Calibri" w:eastAsia="Calibri" w:hAnsi="Calibri" w:cs="Times New Roman"/>
          <w:kern w:val="2"/>
        </w:rPr>
      </w:pPr>
      <w:r w:rsidRPr="00DF196A">
        <w:rPr>
          <w:rFonts w:ascii="Calibri" w:hAnsi="Calibri"/>
          <w:b/>
          <w:highlight w:val="green"/>
          <w:lang w:val="en-CA" w:eastAsia="en-US"/>
        </w:rPr>
        <w:t>Diversity and Inclusion:</w:t>
      </w:r>
      <w:r w:rsidRPr="00DF196A">
        <w:t xml:space="preserve"> La Commission de la sécurité au travail et de l</w:t>
      </w:r>
      <w:r w:rsidR="00DF196A">
        <w:t>’</w:t>
      </w:r>
      <w:r w:rsidRPr="00DF196A">
        <w:t>indemnisation des travailleurs (WSCC) est un milieu de travail inclusif. Si vous avez une incapacité et devez obtenir un soutien pendant le processus d</w:t>
      </w:r>
      <w:r w:rsidR="00DF196A">
        <w:t>’</w:t>
      </w:r>
      <w:r w:rsidRPr="00DF196A">
        <w:t>embauche, nous vous encourageons à décrire tout besoin lorsque nous communiquerons avec vous pour une affectation ou une entrevue afin que vous puissiez bénéficier de mesures d</w:t>
      </w:r>
      <w:r w:rsidR="00DF196A">
        <w:t>’</w:t>
      </w:r>
      <w:r w:rsidRPr="00DF196A">
        <w:t>adaptation.</w:t>
      </w:r>
    </w:p>
    <w:p w14:paraId="50854FBF" w14:textId="24A61E21" w:rsidR="00852D49" w:rsidRPr="00DF196A" w:rsidRDefault="00852D49" w:rsidP="00852D49">
      <w:pPr>
        <w:rPr>
          <w:rFonts w:ascii="Times New Roman" w:hAnsi="Times New Roman" w:cs="Times New Roman"/>
        </w:rPr>
      </w:pPr>
      <w:r w:rsidRPr="00DF196A">
        <w:rPr>
          <w:rFonts w:ascii="Calibri" w:hAnsi="Calibri"/>
          <w:b/>
          <w:highlight w:val="green"/>
          <w:lang w:val="en-CA" w:eastAsia="en-US"/>
        </w:rPr>
        <w:t>Eligibility:</w:t>
      </w:r>
      <w:r w:rsidRPr="00DF196A">
        <w:rPr>
          <w:rFonts w:ascii="Calibri" w:hAnsi="Calibri"/>
        </w:rPr>
        <w:t xml:space="preserve"> </w:t>
      </w:r>
      <w:r w:rsidRPr="00DF196A">
        <w:t>Des listes de candidats et candidates admissibles peuvent être établies à l</w:t>
      </w:r>
      <w:r w:rsidR="00DF196A">
        <w:t>’</w:t>
      </w:r>
      <w:r w:rsidRPr="00DF196A">
        <w:t>issue du concours pour pourvoir des postes à durée déterminée ou indéterminée.</w:t>
      </w:r>
      <w:r w:rsidRPr="00DF196A">
        <w:rPr>
          <w:rFonts w:ascii="Times New Roman" w:hAnsi="Times New Roman"/>
        </w:rPr>
        <w:t xml:space="preserve"> </w:t>
      </w:r>
    </w:p>
    <w:p w14:paraId="514B91BD" w14:textId="7526D06D" w:rsidR="00CC270B" w:rsidRPr="00DF196A" w:rsidRDefault="00CC270B" w:rsidP="00CC270B">
      <w:pPr>
        <w:spacing w:after="160" w:line="259" w:lineRule="auto"/>
        <w:rPr>
          <w:rFonts w:ascii="Calibri" w:eastAsia="Calibri" w:hAnsi="Calibri" w:cs="Times New Roman"/>
          <w:kern w:val="2"/>
          <w:sz w:val="22"/>
          <w:szCs w:val="22"/>
          <w14:ligatures w14:val="standardContextual"/>
        </w:rPr>
      </w:pPr>
      <w:r w:rsidRPr="00DF196A">
        <w:rPr>
          <w:rFonts w:ascii="Calibri" w:hAnsi="Calibri"/>
          <w:b/>
          <w:sz w:val="22"/>
          <w:highlight w:val="green"/>
        </w:rPr>
        <w:lastRenderedPageBreak/>
        <w:br/>
      </w:r>
    </w:p>
    <w:p w14:paraId="73092F13" w14:textId="32B67719" w:rsidR="007D49E5" w:rsidRPr="00DF196A" w:rsidRDefault="007D49E5" w:rsidP="007D49E5"/>
    <w:sectPr w:rsidR="007D49E5" w:rsidRPr="00DF196A" w:rsidSect="00CC270B">
      <w:type w:val="continuous"/>
      <w:pgSz w:w="12240" w:h="15840" w:code="1"/>
      <w:pgMar w:top="357" w:right="851" w:bottom="2183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5A355" w14:textId="77777777" w:rsidR="00D3557D" w:rsidRDefault="00D3557D" w:rsidP="00500144">
      <w:r>
        <w:separator/>
      </w:r>
    </w:p>
  </w:endnote>
  <w:endnote w:type="continuationSeparator" w:id="0">
    <w:p w14:paraId="596FEC0E" w14:textId="77777777" w:rsidR="00D3557D" w:rsidRDefault="00D3557D" w:rsidP="0050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6672D" w14:textId="6C484CFB" w:rsidR="00500144" w:rsidRDefault="002F2A1F" w:rsidP="00A25662">
    <w:pPr>
      <w:pStyle w:val="Pieddepage"/>
      <w:ind w:left="-85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BE2AED" wp14:editId="168195C0">
          <wp:simplePos x="0" y="0"/>
          <wp:positionH relativeFrom="column">
            <wp:posOffset>0</wp:posOffset>
          </wp:positionH>
          <wp:positionV relativeFrom="page">
            <wp:posOffset>10062845</wp:posOffset>
          </wp:positionV>
          <wp:extent cx="7761605" cy="1356995"/>
          <wp:effectExtent l="0" t="0" r="0" b="0"/>
          <wp:wrapThrough wrapText="bothSides">
            <wp:wrapPolygon edited="0">
              <wp:start x="0" y="0"/>
              <wp:lineTo x="0" y="21226"/>
              <wp:lineTo x="21524" y="21226"/>
              <wp:lineTo x="21524" y="0"/>
              <wp:lineTo x="0" y="0"/>
            </wp:wrapPolygon>
          </wp:wrapThrough>
          <wp:docPr id="1411450474" name="Picture 1411450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35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087C0" w14:textId="77777777" w:rsidR="00D3557D" w:rsidRDefault="00D3557D" w:rsidP="00500144">
      <w:r>
        <w:separator/>
      </w:r>
    </w:p>
  </w:footnote>
  <w:footnote w:type="continuationSeparator" w:id="0">
    <w:p w14:paraId="4FFFB93D" w14:textId="77777777" w:rsidR="00D3557D" w:rsidRDefault="00D3557D" w:rsidP="0050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6672C" w14:textId="77777777" w:rsidR="00500144" w:rsidRDefault="00500144" w:rsidP="00A25662">
    <w:pPr>
      <w:pStyle w:val="En-tte"/>
      <w:ind w:left="-850"/>
    </w:pPr>
    <w:r>
      <w:rPr>
        <w:noProof/>
      </w:rPr>
      <w:drawing>
        <wp:inline distT="0" distB="0" distL="0" distR="0" wp14:anchorId="3A56672E" wp14:editId="3A56672F">
          <wp:extent cx="7754815" cy="1380291"/>
          <wp:effectExtent l="0" t="0" r="0" b="0"/>
          <wp:docPr id="1540544236" name="Picture 1540544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1-Letterhead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4431" cy="1417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2AF6"/>
    <w:multiLevelType w:val="hybridMultilevel"/>
    <w:tmpl w:val="BD8E743E"/>
    <w:lvl w:ilvl="0" w:tplc="3A9E19B0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5" w:hanging="360"/>
      </w:pPr>
    </w:lvl>
    <w:lvl w:ilvl="2" w:tplc="1009001B" w:tentative="1">
      <w:start w:val="1"/>
      <w:numFmt w:val="lowerRoman"/>
      <w:lvlText w:val="%3."/>
      <w:lvlJc w:val="right"/>
      <w:pPr>
        <w:ind w:left="1905" w:hanging="180"/>
      </w:pPr>
    </w:lvl>
    <w:lvl w:ilvl="3" w:tplc="1009000F" w:tentative="1">
      <w:start w:val="1"/>
      <w:numFmt w:val="decimal"/>
      <w:lvlText w:val="%4."/>
      <w:lvlJc w:val="left"/>
      <w:pPr>
        <w:ind w:left="2625" w:hanging="360"/>
      </w:pPr>
    </w:lvl>
    <w:lvl w:ilvl="4" w:tplc="10090019" w:tentative="1">
      <w:start w:val="1"/>
      <w:numFmt w:val="lowerLetter"/>
      <w:lvlText w:val="%5."/>
      <w:lvlJc w:val="left"/>
      <w:pPr>
        <w:ind w:left="3345" w:hanging="360"/>
      </w:pPr>
    </w:lvl>
    <w:lvl w:ilvl="5" w:tplc="1009001B" w:tentative="1">
      <w:start w:val="1"/>
      <w:numFmt w:val="lowerRoman"/>
      <w:lvlText w:val="%6."/>
      <w:lvlJc w:val="right"/>
      <w:pPr>
        <w:ind w:left="4065" w:hanging="180"/>
      </w:pPr>
    </w:lvl>
    <w:lvl w:ilvl="6" w:tplc="1009000F" w:tentative="1">
      <w:start w:val="1"/>
      <w:numFmt w:val="decimal"/>
      <w:lvlText w:val="%7."/>
      <w:lvlJc w:val="left"/>
      <w:pPr>
        <w:ind w:left="4785" w:hanging="360"/>
      </w:pPr>
    </w:lvl>
    <w:lvl w:ilvl="7" w:tplc="10090019" w:tentative="1">
      <w:start w:val="1"/>
      <w:numFmt w:val="lowerLetter"/>
      <w:lvlText w:val="%8."/>
      <w:lvlJc w:val="left"/>
      <w:pPr>
        <w:ind w:left="5505" w:hanging="360"/>
      </w:pPr>
    </w:lvl>
    <w:lvl w:ilvl="8" w:tplc="1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DE5D42"/>
    <w:multiLevelType w:val="hybridMultilevel"/>
    <w:tmpl w:val="9DCC03E4"/>
    <w:lvl w:ilvl="0" w:tplc="E56CD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7765C"/>
    <w:multiLevelType w:val="hybridMultilevel"/>
    <w:tmpl w:val="8F7ADADE"/>
    <w:lvl w:ilvl="0" w:tplc="530EAA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F34D6E"/>
    <w:multiLevelType w:val="hybridMultilevel"/>
    <w:tmpl w:val="57248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3D72D8"/>
    <w:multiLevelType w:val="hybridMultilevel"/>
    <w:tmpl w:val="CE681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73771"/>
    <w:multiLevelType w:val="hybridMultilevel"/>
    <w:tmpl w:val="4A588D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B3104"/>
    <w:multiLevelType w:val="hybridMultilevel"/>
    <w:tmpl w:val="4DC88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091360">
    <w:abstractNumId w:val="0"/>
  </w:num>
  <w:num w:numId="2" w16cid:durableId="2105494736">
    <w:abstractNumId w:val="1"/>
  </w:num>
  <w:num w:numId="3" w16cid:durableId="883908944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672365884">
    <w:abstractNumId w:val="6"/>
  </w:num>
  <w:num w:numId="5" w16cid:durableId="1688826060">
    <w:abstractNumId w:val="4"/>
  </w:num>
  <w:num w:numId="6" w16cid:durableId="125977643">
    <w:abstractNumId w:val="3"/>
  </w:num>
  <w:num w:numId="7" w16cid:durableId="172304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K0sDA3tjAxNTe1NDZU0lEKTi0uzszPAykwrAUAnumsiiwAAAA="/>
  </w:docVars>
  <w:rsids>
    <w:rsidRoot w:val="00500144"/>
    <w:rsid w:val="0002256D"/>
    <w:rsid w:val="0005311F"/>
    <w:rsid w:val="000818DD"/>
    <w:rsid w:val="000B4A54"/>
    <w:rsid w:val="00111E95"/>
    <w:rsid w:val="001A28CC"/>
    <w:rsid w:val="001E06CB"/>
    <w:rsid w:val="001E079D"/>
    <w:rsid w:val="0021619E"/>
    <w:rsid w:val="0024746F"/>
    <w:rsid w:val="002A54DF"/>
    <w:rsid w:val="002F2A1F"/>
    <w:rsid w:val="00322525"/>
    <w:rsid w:val="00343F71"/>
    <w:rsid w:val="003A3D47"/>
    <w:rsid w:val="003C313D"/>
    <w:rsid w:val="004439A0"/>
    <w:rsid w:val="0046718C"/>
    <w:rsid w:val="00481939"/>
    <w:rsid w:val="004E4EF4"/>
    <w:rsid w:val="00500144"/>
    <w:rsid w:val="00525C31"/>
    <w:rsid w:val="0057706D"/>
    <w:rsid w:val="005E20DF"/>
    <w:rsid w:val="00645CBF"/>
    <w:rsid w:val="00673CBF"/>
    <w:rsid w:val="00690777"/>
    <w:rsid w:val="006950EF"/>
    <w:rsid w:val="00696FF3"/>
    <w:rsid w:val="006B1E4F"/>
    <w:rsid w:val="006D3B32"/>
    <w:rsid w:val="006E5326"/>
    <w:rsid w:val="00701882"/>
    <w:rsid w:val="00737A46"/>
    <w:rsid w:val="007710FF"/>
    <w:rsid w:val="007B5D1C"/>
    <w:rsid w:val="007D49E5"/>
    <w:rsid w:val="00801D3B"/>
    <w:rsid w:val="00811E94"/>
    <w:rsid w:val="00841CD4"/>
    <w:rsid w:val="00852D49"/>
    <w:rsid w:val="00866003"/>
    <w:rsid w:val="008D2C7A"/>
    <w:rsid w:val="008E42DE"/>
    <w:rsid w:val="00902187"/>
    <w:rsid w:val="009252CD"/>
    <w:rsid w:val="009639DD"/>
    <w:rsid w:val="009A6A3F"/>
    <w:rsid w:val="00A25662"/>
    <w:rsid w:val="00A40BF5"/>
    <w:rsid w:val="00A8441B"/>
    <w:rsid w:val="00B303B0"/>
    <w:rsid w:val="00B7599B"/>
    <w:rsid w:val="00BC21A2"/>
    <w:rsid w:val="00BE5D47"/>
    <w:rsid w:val="00BE7E8A"/>
    <w:rsid w:val="00C00AED"/>
    <w:rsid w:val="00C01E1C"/>
    <w:rsid w:val="00C27758"/>
    <w:rsid w:val="00C61757"/>
    <w:rsid w:val="00CB48BE"/>
    <w:rsid w:val="00CC270B"/>
    <w:rsid w:val="00CE7341"/>
    <w:rsid w:val="00D3557D"/>
    <w:rsid w:val="00D35BFC"/>
    <w:rsid w:val="00D511C6"/>
    <w:rsid w:val="00D75683"/>
    <w:rsid w:val="00DA072B"/>
    <w:rsid w:val="00DB4FB3"/>
    <w:rsid w:val="00DD1824"/>
    <w:rsid w:val="00DF196A"/>
    <w:rsid w:val="00E8780C"/>
    <w:rsid w:val="00EC5F33"/>
    <w:rsid w:val="00ED228E"/>
    <w:rsid w:val="00EE670B"/>
    <w:rsid w:val="00F25148"/>
    <w:rsid w:val="00F77979"/>
    <w:rsid w:val="00F85349"/>
    <w:rsid w:val="00FA071E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66727"/>
  <w15:docId w15:val="{ED4AB2AF-640E-443B-A735-29083140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014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00144"/>
  </w:style>
  <w:style w:type="paragraph" w:styleId="Pieddepage">
    <w:name w:val="footer"/>
    <w:basedOn w:val="Normal"/>
    <w:link w:val="PieddepageCar"/>
    <w:uiPriority w:val="99"/>
    <w:unhideWhenUsed/>
    <w:rsid w:val="0050014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0144"/>
  </w:style>
  <w:style w:type="paragraph" w:styleId="Textedebulles">
    <w:name w:val="Balloon Text"/>
    <w:basedOn w:val="Normal"/>
    <w:link w:val="TextedebullesCar"/>
    <w:uiPriority w:val="99"/>
    <w:semiHidden/>
    <w:unhideWhenUsed/>
    <w:rsid w:val="00FF1D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D1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45CB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8441B"/>
    <w:pPr>
      <w:ind w:left="720"/>
      <w:contextualSpacing/>
    </w:pPr>
    <w:rPr>
      <w:rFonts w:ascii="Times New Roman" w:eastAsia="Times New Roman" w:hAnsi="Times New Roman" w:cs="Symbol"/>
      <w:sz w:val="20"/>
      <w:szCs w:val="20"/>
      <w:lang w:eastAsia="en-US"/>
    </w:rPr>
  </w:style>
  <w:style w:type="table" w:styleId="Grilledutableau">
    <w:name w:val="Table Grid"/>
    <w:basedOn w:val="TableauNormal"/>
    <w:rsid w:val="00A8441B"/>
    <w:rPr>
      <w:rFonts w:ascii="Times New Roman" w:eastAsia="Times New Roman" w:hAnsi="Times New Roman" w:cs="Symbol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343F7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43F71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343F71"/>
    <w:rPr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343F71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1E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1E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eers@wscc.nt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372DD69E50844AEC24D8441C6FB64" ma:contentTypeVersion="0" ma:contentTypeDescription="Create a new document." ma:contentTypeScope="" ma:versionID="125294e1c3724eff0ebe8b0777194f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65804-ECC3-49B9-BED3-02A36FD11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292574-188D-44FA-9A48-F049E9F716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F39C3-026C-45CC-AD53-F24439D15C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3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Poon</dc:creator>
  <cp:keywords/>
  <dc:description/>
  <cp:lastModifiedBy>Anne-Chantal Fontaine</cp:lastModifiedBy>
  <cp:revision>5</cp:revision>
  <cp:lastPrinted>2025-02-18T00:10:00Z</cp:lastPrinted>
  <dcterms:created xsi:type="dcterms:W3CDTF">2025-02-18T00:11:00Z</dcterms:created>
  <dcterms:modified xsi:type="dcterms:W3CDTF">2025-02-18T17:29:00Z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0x01010092D372DD69E50844AEC24D8441C6FB64</vt:lpwstr>
  </property>
</Properties>
</file>